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PS/100/2024 vom 22. Januar 2025</w:t>
      </w:r>
    </w:p>
    <w:p>
      <w:r>
        <w:t>GE Cour de justice, 2025-01-22, FR</w:t>
      </w:r>
    </w:p>
    <w:p>
      <w:r>
        <w:rPr>
          <w:b/>
        </w:rPr>
        <w:t xml:space="preserve">Quelle: </w:t>
      </w:r>
      <w:r>
        <w:t>https://mcp.opencaselaw.ch/entscheid/ge_gerichte_PS_100_2024</w:t>
      </w:r>
    </w:p>
    <w:p>
      <w:r>
        <w:t>FR: GE_GERICHTE PS/100/2024 du 22 janvier 2025</w:t>
      </w:r>
    </w:p>
    <w:p>
      <w:r>
        <w:t>IT: GE_GERICHTE PS/100/2024 del 22 gennaio 2025</w:t>
      </w:r>
    </w:p>
    <w:p>
      <w:pPr>
        <w:pStyle w:val="Heading2"/>
      </w:pPr>
      <w:r>
        <w:t>Regeste</w:t>
      </w:r>
    </w:p>
    <w:p>
      <w:r>
        <w:t>RÉCUSATION;MINISTÈRE PUBLIC;VOIE DE DROIT | CPP.56</w:t>
      </w:r>
    </w:p>
    <w:p>
      <w:pPr>
        <w:pStyle w:val="Heading2"/>
      </w:pPr>
      <w:r>
        <w:t>Erwägungen</w:t>
      </w:r>
    </w:p>
    <w:p>
      <w:r>
        <w:rPr>
          <w:b/>
        </w:rPr>
        <w:t>E. 1</w:t>
      </w:r>
    </w:p>
    <w:p>
      <w:r>
        <w:t>Parties plaignantes à la procédure pendante (art. 104 al. 1 let. b CPP), les requérants disposent de la qualité pour agir (art. 58 al. 1 CPP).</w:t>
      </w:r>
    </w:p>
    <w:p>
      <w:r>
        <w:rPr>
          <w:b/>
        </w:rPr>
        <w:t>E. 2.1</w:t>
      </w:r>
    </w:p>
    <w:p>
      <w:r>
        <w:t>Conformément à l'art. 58 al. 1 CPP, la récusation doit être demandée sans délai, dès que la partie a connaissance du motif de récusation, c'est-à-dire dans les jours qui suivent la connaissance de la cause de récusation (arrêt du Tribunal fédéral 1B_335/2019 du 16 janvier 2020 consid. 3.1.2), sous peine de déchéance (ATF 143 V 66 consid. 4.3; 140 I 271 consid. 8.4.3).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(arrêts du Tribunal fédéral 1B_113/2020 du 16 avril 2020 consid. 3; 1B_496/2019 du 28 février 2020 consid. 3.3; 1B_335/2019 du 16 janvier 2020 consid. 3.1.2).</w:t>
      </w:r>
    </w:p>
    <w:p>
      <w:r>
        <w:rPr>
          <w:b/>
        </w:rPr>
        <w:t>E. 2.2</w:t>
      </w:r>
    </w:p>
    <w:p>
      <w:r>
        <w:t>En l'espèce, les requérants allèguent deux causes distinctes de récusation. Dans l’une, ils s’en prennent au revirement du cité au sujet de l’audition, initialement envisagée par celui-ci, d’un employé en informatique de la banque. Or, les échanges entre les parties sont, tous, intervenus au printemps 2024. Le 28 mai 2024 déjà, le cité a communiqué sa décision, soit la renonciation à cette audition ; et les requérants s’en sont offusqués par pli du 30 août 2024, réitérant la nécessité d’entendre les employés du service informatique de E______. Par conséquent, en soulevant ce motif de récusation le 5 décembre 2024, ils n’ont pas agi « sans délai », au sens de l’art. 58 al. 1 CPP. En revanche, en tant qu’elle suit de quelques jours le choix du cité de renvoyer à la fin de l’instruction préliminaire la décision sur l’admission de H______ en qualité de partie plaignante – choix qui constitue la seconde cause alléguée de récusation –, la requête est recevable.</w:t>
      </w:r>
    </w:p>
    <w:p>
      <w:r>
        <w:rPr>
          <w:b/>
        </w:rPr>
        <w:t>E. 3</w:t>
      </w:r>
    </w:p>
    <w:p>
      <w:r>
        <w:t>Les requérants estiment que, par sa lettre du 27 novembre 2024, le cité aurait fait montre d’un « paroxysme » de prévention favorable à la banque.</w:t>
      </w:r>
    </w:p>
    <w:p>
      <w:r>
        <w:rPr>
          <w:b/>
        </w:rPr>
        <w:t>E. 3.1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de l'une des parties au procès ne sont pas décisives (ATF 148 IV 137 consid. 2.2). L'impartialité subjective d'un magistrat se présume jusqu'à preuve du contraire (ATF 136 III 605 consid. 3.2.1 ; arrêt de la CourEDH Lindon, § 76; arrêt du Tribunal fédéral 7B_598/2024 du 5 novembre 2024 consid. 6.2.1. ; N. SCHMID / D. JOSITSCH, Schweizerische Strafprozessordnung : Praxiskommentar , 4 e éd., Zurich 2023, n. 14 ad art. 56).</w:t>
      </w:r>
    </w:p>
    <w:p>
      <w:r>
        <w:rPr>
          <w:b/>
        </w:rPr>
        <w:t>E. 3.2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arrêt du Tribunal fédéral 7B_598/2024 précité consid. 6.2.3.). La procédure de récusation n'a donc pas pour objet de permettre aux parties de contester la manière dont est menée l'instruction et de remettre en cause les différentes décisions incidentes prises par la direction de la procédure (ATF 143 IV 69 consid. 3.2 ; arrêt du Tribunal fédéral 7B_317/2024 du 15 mai 2024 consid. 2.1.3.), telles que le refus d’administration de preuves (arrêt du Tribunal fédéral 1B_192/2021 du 27 mai 2021 consid. 3.2.). La conduite de l'instruction et les décisions prises à l'issue de celle-ci doivent être contestées par les voies de recours ordinaires (ATF 143 IV 69 consid. 3.2).</w:t>
      </w:r>
    </w:p>
    <w:p>
      <w:r>
        <w:rPr>
          <w:b/>
        </w:rPr>
        <w:t>E. 3.3</w:t>
      </w:r>
    </w:p>
    <w:p>
      <w:r>
        <w:t>À l’aune de ces principes, la requête est vouée à l’échec. Contrairement à ce qu’allèguent les requérants, le cité ne refuse pas de se plier aux « injonctions » rendues en 2023 par les autorités de recours, pour cette raison déjà que les événements à l’origine de leur demande – la fusion de H______ avec E______ et le report de la décision sur l’admission de la nouvelle personne morale en qualité de partie plaignante – sont largement postérieurs aux décisions qu’elles ont rendues – et étaient donc inconnus d’elles –. S’ils estimaient que l’absence de décision immédiate sur la participation de H______ à la procédure leur causait un préjudice juridique non réparable ultérieurement, ils avaient à disposition les voies de droit ordinaires (cf. art. 394 let. b CPP). Dans l’intervalle, le cité n’était, pour le surplus et quoi qu’il en soit, pas resté inactif. Sans aborder la partie épistolaire, bien fournie, de la procédure depuis 2023, on constate que le cité n’a ni manqué à ses obligations de direction de la procédure ni manifesté, expressément ou tacitement, de refus systématique d’instruire. Des audiences d’instruction ont été régulièrement convoquées et tenues, avec la participation des requérants. Dans cette configuration, où le report de la décision sur l’admission de la (nouvelle) banque en qualité de partie plaignante n’est pas la « goutte d’eau qui fait déborder le vase », au sens de la jurisprudence – ou, pour reprendre l’expression des requérants, un « paroxysme » de faveur envers une partie –, il n’y aurait pas eu à entrer en matière sur la renonciation à l’audition, exprimée par le cité le 28 mai 2024 (cf. arrêt du Tribunal fédéral 7B_598/2024 , précité, consid. 6.2.4.). N’y change rien la nullité des levées de séquestres ordonnées par le cité à l’initiative de la banque, telle que cette nullité a été constatée – dans la procédure connexe P/2______/2015 – par la Chambre de céans le 21 décembre 2021 ( ACPR/911/2021 , précité) : les voies de droit à disposition des requérants leur ont précisément permis d’obtenir la réparation du vice procédural dont ils se plaignaient. Pour le surplus, la position du cité consistant à décliner la saisie, demandée, de l’ordinateur du prévenu défunt n’est pas invoquée comme motif de récusation. Là aussi, une voie de droit eût été à leur disposition (cf. art. 394 let. b CPP).</w:t>
      </w:r>
    </w:p>
    <w:p>
      <w:r>
        <w:rPr>
          <w:b/>
        </w:rPr>
        <w:t>E. 4</w:t>
      </w:r>
    </w:p>
    <w:p>
      <w:r>
        <w:t>En tant que la requête devait être écartée d’emblée, il n’y avait pas à demander au cité de prendre préalablement position, non plus qu’aux autres parties (arrêt du Tribunal fédéral 7B_1/2024 du 28 février 2024 consid. 5.2. ; ACPR/956/2023 du 7 décembre 2023 consid. 5).</w:t>
      </w:r>
    </w:p>
    <w:p>
      <w:r>
        <w:rPr>
          <w:b/>
        </w:rPr>
        <w:t>E. 5</w:t>
      </w:r>
    </w:p>
    <w:p>
      <w:r>
        <w:t>Les requérants, qui succombent, seront condamnés, conjointement et solidairement (art. 418 al. 2 CPP), aux frais de l’instance (art. 59 al. 4 CPP), fixés en totalité à CHF 2'000.- (art. 13 al. 1 let. b du règlement fixant le tarif des frais en matière pénale ;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