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PM/97/2021 vom 26. Februar 2021</w:t>
      </w:r>
    </w:p>
    <w:p>
      <w:r>
        <w:t>GE Cour de justice, 2021-02-26, FR</w:t>
      </w:r>
    </w:p>
    <w:p>
      <w:r>
        <w:rPr>
          <w:b/>
        </w:rPr>
        <w:t xml:space="preserve">Quelle: </w:t>
      </w:r>
      <w:r>
        <w:t>https://mcp.opencaselaw.ch/entscheid/ge_gerichte_PM_97_2021</w:t>
      </w:r>
    </w:p>
    <w:p>
      <w:r>
        <w:t>FR: GE_GERICHTE PM/97/2021 du 26 février 2021</w:t>
      </w:r>
    </w:p>
    <w:p>
      <w:r>
        <w:t>IT: GE_GERICHTE PM/97/2021 del 26 febbraio 2021</w:t>
      </w:r>
    </w:p>
    <w:p>
      <w:pPr>
        <w:pStyle w:val="Heading2"/>
      </w:pPr>
      <w:r>
        <w:t>Regeste</w:t>
      </w:r>
    </w:p>
    <w:p>
      <w:r>
        <w:t>LIBÉRATION CONDITIONNELLE;PRONOSTIC;RISQUE DE RÉCIDIVE | CP.86; CP.87</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Y. JEANNERET / A. KUHN / C. PERRIER DEPEURSINGE (éds), Commentaire romand : Code de procédure pénale suisse,</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les forme et délai prescrits (art. 385 al. 1, 390 al. 1 et 396 al. 1 CPP), par le condamné, qui a un intérêt juridiquement protégé à l'annulation ou à la modification de la décision attaquée (art. 382 al. 1 CPP).</w:t>
      </w:r>
    </w:p>
    <w:p>
      <w:r>
        <w:rPr>
          <w:b/>
        </w:rPr>
        <w:t>E. 2</w:t>
      </w:r>
    </w:p>
    <w:p>
      <w:r>
        <w:t>Le recourant conteste le refus de sa demande de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références citées).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références citées). Il y a également lieu de rechercher si la libération conditionnelle, éventuellement assortie de règles de conduite et d'un patronage, ne favoriserait pas mieux la resocialisation de l'auteur que l'exécution complète de la peine (ATF 124 IV 193 consid. 4d/aa/bb p. 198 ss).</w:t>
      </w:r>
    </w:p>
    <w:p>
      <w:r>
        <w:rPr>
          <w:b/>
        </w:rPr>
        <w:t>E. 2.2</w:t>
      </w:r>
    </w:p>
    <w:p>
      <w:r>
        <w:t>En l'espèce, l'appréciation émise par le premier juge ne souffre pas de critique. Les critères qu'il a retenus et appliqués sont pertinents. Il peut y être renvoyé sans autre, car le recourant se contente de demander, en réalité, un nouvel examen d'arguments qui n'ont pas convaincu le TAPEM. On ne saurait reprocher au premier juge d'avoir fondé sa décision sur le peu d'éléments dont il disposait. En l'absence d'informations crédibles, et tant soit peu documentées, sur la réinsertion qu'il escompte en Grande-Bretagne, le recourant ne peut soutenir avoir renversé le pronostic très défavorable qui émerge de son dossier. Il n'a aucun titre de séjour en Suisse, de sorte qu'il ne saurait obtenir d'assistance ou de « suivi » pendant qu'il accomplirait des démarches en vue de se faire délivrer un visa britannique. Si le juge du fond avait estimé que ses caractéristiques appelaient des mesures spécifiques (art. 56 CP), il les eût ordonnées. Pour le surplus, le recourant semble confondre les règles de conduite qui pourraient lui être imposées (art. 87 al. 2 CP) avec des mesures de substitution à la détention avant jugement (art. 237 CPP), qui ne poursuivent pas les mêmes fins. Une astreinte, en tout cas, est actuellement en vigueur et vaut matériellement règle de conduite, l'obligation de se soumettre à l'expulsion judiciaire en vigueur.</w:t>
      </w:r>
    </w:p>
    <w:p>
      <w:r>
        <w:rPr>
          <w:b/>
        </w:rPr>
        <w:t>E. 3</w:t>
      </w:r>
    </w:p>
    <w:p>
      <w:r>
        <w:t>Dès lors, le recours, manifestement mal fondé, pouvait être traité, d'emblée, sans échange d'écritures ni débats (art. 390 al. 2 et 5 a contrario CPP).</w:t>
      </w:r>
    </w:p>
    <w:p>
      <w:r>
        <w:rPr>
          <w:b/>
        </w:rPr>
        <w:t>E. 4</w:t>
      </w:r>
    </w:p>
    <w:p>
      <w:r>
        <w:t>Le recourant, parce qu'il n'a pas gain de cause, supportera les frais envers l'État, qui seront fixés en totalité à CHF 500.- (art. 428 al. 1 CPP et 13 al. 1 du Règlement fixant le tarif des frais en matière pénale, RTFMP; E 4 10.03).</w:t>
      </w:r>
    </w:p>
    <w:p>
      <w:r>
        <w:rPr>
          <w:b/>
        </w:rPr>
        <w:t>E. 5</w:t>
      </w:r>
    </w:p>
    <w:p>
      <w:r>
        <w:t>Le recourant n'a pas produit de relevé d'activité de son défenseur d'office en instance de recours. Dans la mesure où les faits et arguments qu'il présente se confondent de façon prépondérante avec les déterminations soumises au TAPEM, une indemnité fixée ex aequo et bono à CHF 600.- TTC apparaît satisfactoire (art.16 al. 1 let. b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