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PM/972/2025 vom 30. September 2025</w:t>
      </w:r>
    </w:p>
    <w:p>
      <w:r>
        <w:t>GE Cour de justice, 2025-09-30, FR</w:t>
      </w:r>
    </w:p>
    <w:p>
      <w:r>
        <w:rPr>
          <w:b/>
        </w:rPr>
        <w:t xml:space="preserve">Quelle: </w:t>
      </w:r>
      <w:r>
        <w:t>https://mcp.opencaselaw.ch/entscheid/ge_gerichte_PM_972_2025</w:t>
      </w:r>
    </w:p>
    <w:p>
      <w:r>
        <w:t>FR: GE_GERICHTE PM/972/2025 du 30 septembre 2025</w:t>
      </w:r>
    </w:p>
    <w:p>
      <w:r>
        <w:t>IT: GE_GERICHTE PM/972/2025 del 30 settembre 2025</w:t>
      </w:r>
    </w:p>
    <w:p>
      <w:pPr>
        <w:pStyle w:val="Heading2"/>
      </w:pPr>
      <w:r>
        <w:t>Regeste</w:t>
      </w:r>
    </w:p>
    <w:p>
      <w:r>
        <w:t>LIBÉRATION CONDITIONNELLE;DROIT D'ÊTRE ENTENDU | CP.86.al2</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 2 ème éd., Bâle 2019, n. 30 ad art. 363).</w:t>
      </w:r>
    </w:p>
    <w:p>
      <w:r>
        <w:rPr>
          <w:b/>
        </w:rPr>
        <w:t>E. 1.2</w:t>
      </w:r>
    </w:p>
    <w:p>
      <w:r>
        <w:t>La procédure devant la Chambre de céans est régie par le CPP, applicable au titre de droit cantonal supplétif (art. 42 al. 3 LaCP).</w:t>
      </w:r>
    </w:p>
    <w:p>
      <w:r>
        <w:rPr>
          <w:b/>
        </w:rPr>
        <w:t>E. 1.3</w:t>
      </w:r>
    </w:p>
    <w:p>
      <w:r>
        <w:t>En l'espèce, le recours a été déposé selon la forme – bien que très limite sous l'angle de la motivation – et dans le délai prescrits (art. 385 al. 1 et 396 al. 1 CPP) et émane de la condamnée, qui a un intérêt juridiquement protégé à l'annulation ou à la modification de la décision querellée en tant que la libération conditionnelle – qui lui est favorable – a été soumise à la condition d'un renvoi de Suisse et à une règle de conduite (art. 104 al. 1 let. a, 111 et 382 al. 1 CPP). Le recours sera donc déclaré recevable dans cette mesure (cf. ACPR/159/2024 du 29 février 2024).</w:t>
      </w:r>
    </w:p>
    <w:p>
      <w:r>
        <w:rPr>
          <w:b/>
        </w:rPr>
        <w:t>E. 1.4</w:t>
      </w:r>
    </w:p>
    <w:p>
      <w:r>
        <w:t>Nonobstant la curatelle de portée générale dont elle fait l'objet, la recourante semble conserver une capacité de discernement suffisante, ce que la Chambre de céans a retenu à plusieurs reprises (cf. ACPR/670/2025 du 21 août 2025 consid. 4.2.; ACPR/695/2025 du 1 er septembre 2025 consid. 2.3.) pour comprendre les tenants et aboutissants de la procédure de libération conditionnelle, dès lors qu'elle a été en mesure de remplir le formulaire ad hoc et d'expliquer pour quelles raisons, selon elle, l'ordonnance du TAPEM devait être annulée.</w:t>
      </w:r>
    </w:p>
    <w:p>
      <w:r>
        <w:rPr>
          <w:b/>
        </w:rPr>
        <w:t>E. 2</w:t>
      </w:r>
    </w:p>
    <w:p>
      <w:r>
        <w:t>À bien la comprendre, la recourante se plaint d'une violation de son droit d'être entendue dans la mesure où le TAPEM n'a pas procédé à son audition avant de rendre l'ordonnance querellée.</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2.2</w:t>
      </w:r>
    </w:p>
    <w:p>
      <w:r>
        <w:t>La violation du droit d'être entendu doit entraîner l'annulation de la décision, indépendamment des chances de succès du recours sur le fond (ATF 135 I 187 consid. 2.2; 122 II 464 consid. 4a).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 136 V 117 consid. 4.2.2.2; 133 I 201 consid. 2.2).</w:t>
      </w:r>
    </w:p>
    <w:p>
      <w:r>
        <w:rPr>
          <w:b/>
        </w:rPr>
        <w:t>E. 2.3</w:t>
      </w:r>
    </w:p>
    <w:p>
      <w:r>
        <w:t>Aux termes de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w:t>
      </w:r>
    </w:p>
    <w:p>
      <w:r>
        <w:rPr>
          <w:b/>
        </w:rPr>
        <w:t>E. 2.4</w:t>
      </w:r>
    </w:p>
    <w:p>
      <w:r>
        <w:t>En l'espèce, le TAPEM n'a, considérant la teneur de sa décision qui n'est pas favorable à la recourante s'agissant de l'octroi d'une libération conditionnelle, certes, mais moyennant son renvoi au Pérou et une règle de conduite l'obligeant à collaborer dans ce but, à tort pas convoqué d'audience ni imparti à la recourante un délai pour solliciter la tenue d'une audience, respectivement transmettre ses éventuelles observations écrites. Il a donc rendu sa décision sans l'avoir au préalable entendue, en violation de l'art. 86 al. 2 CP. La demande de " libération " déposée par la recourante le 16 juillet 2025 auprès du TMC, après que le Ministère public lui eut répondu le 11 juillet précédent que sa demande du 3 juillet 2025 était irrecevable, ne saurait être considérée par le TAPEM comme des observations déposées spécifiquement en lien avec une procédure de libération conditionnelle. En effet, le 16 juillet 2025, la recourante ne pouvait pas avoir connaissance des préavis de la prison du 23 juillet 2025 et du SRSP du 18 septembre 2025, ni de la requête du Ministère public du 24 septembre 2025 adressée au TAPEM. La violation du droit d'être entendu qui en découle est trop importante pour être réparée devant l'instance de recours, qui ne tient pas d'audience et procède par écrit (art. 397 al. 1 CPP; ACPR/724/2023 du 20 septembre 2023 consid. 2.4; ATF 134 I 140 consid. 5.3 et les références citées; arrêt du Tribunal fédéral 6B_883/2020 du 15 avril 2021 consid. 2.2); Si une garantie procédurale n'a pas été respectée, il convient, autant que possible, de remettre la personne lésée dans la situation qui aurait été la sienne si l'exigence en cause n'avait pas été méconnue. Lorsqu'il s'agit d'une violation du droit d'être entendu, comme en l'espèce, la réparation consiste à renvoyer le dossier à l'autorité intimée pour qu'elle rende une nouvelle décision après avoir donné à la personne intéressée l'occasion de s'exprimer (arrêt du Tribunal fédéral 1B_85/2010 du 19 avril 2010 consid. 4.2);</w:t>
      </w:r>
    </w:p>
    <w:p>
      <w:r>
        <w:rPr>
          <w:b/>
        </w:rPr>
        <w:t>E. 3</w:t>
      </w:r>
    </w:p>
    <w:p>
      <w:r>
        <w:t>Au vu de ces considérations, le recours sera admis, la décision entreprise annulée et le dossier renvoyé au TAPEM pour qu'il rende, à bref délai, une nouvelle décision après avoir entendu la recourante, conformément à l'art. 86 al. 2 CP, et s'être déterminé sur sa demande tendant à la désignation d'un défenseur d'office.</w:t>
      </w:r>
    </w:p>
    <w:p>
      <w:r>
        <w:rPr>
          <w:b/>
        </w:rPr>
        <w:t>E. 4</w:t>
      </w:r>
    </w:p>
    <w:p>
      <w:r>
        <w:t>Au regard de la nature procédurale du vice examiné et dans la mesure où la Chambre de céans n'a pas traité la cause sur le fond, ne préjugeant ainsi pas de l'issue de celle-ci, il pouvait être procédé au renvoi sans ordonner préalablement un échange d'écritures (ATF 133 IV 293 consid. 3.4.2 p. 296 ; arrêts du Tribunal fédéral 6B_662/2020 du 18 août 2020 consid. 2 et 6B_30/2020 du 6 avril 2020 consid. 2).</w:t>
      </w:r>
    </w:p>
    <w:p>
      <w:r>
        <w:rPr>
          <w:b/>
        </w:rPr>
        <w:t>E. 5</w:t>
      </w:r>
    </w:p>
    <w:p>
      <w:r>
        <w:t>Au vu de l'issue du recours, les frais de l'instance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