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PM/946/2015 vom 5. November 2015</w:t>
      </w:r>
    </w:p>
    <w:p>
      <w:r>
        <w:t>GE Cour de justice, 2015-11-05, FR</w:t>
      </w:r>
    </w:p>
    <w:p>
      <w:r>
        <w:rPr>
          <w:b/>
        </w:rPr>
        <w:t xml:space="preserve">Quelle: </w:t>
      </w:r>
      <w:r>
        <w:t>https://mcp.opencaselaw.ch/entscheid/ge_gerichte_PM_946_2015</w:t>
      </w:r>
    </w:p>
    <w:p>
      <w:r>
        <w:t>FR: GE_GERICHTE PM/946/2015 du 5 novembre 2015</w:t>
      </w:r>
    </w:p>
    <w:p>
      <w:r>
        <w:t>IT: GE_GERICHTE PM/946/2015 del 5 novembre 2015</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est réalisée depuis le 24 octobre 2015. S'agissant de la condition subjective, force est de constater qu'elle ne l'est pas. Le préavis positif de la direction de l'établissement pénitentiaire constitue un élément favorable qui ne saurait à lui seul conduire à l'octroi d'une libération conditionnelle d'autant plus que celui de la prison de Champ-Dollon ne l'est pas, vu le refus collectif de réintégrer les cellules auquel l'appelant a participé, ce qui est une indication négative s'agissant de sa capacité de se plier aux règles. A cela s'ajoute le fait que son identité ne peut être clairement établie, que ses antécédents sont mauvais et spécifiques, l'appelant ayant été condamné à deux reprises à des peines privatives de liberté pour des trafics de stupéfiants. Il a bénéficié d'une libération conditionnelle en mars 2011 sans avoir tiré les conclusions qui s'imposaient. Les explications confuses et fluctuantes de l'appelant sur sa nationalité portugaise ne sont pas crédibles et rendent sont projet de départ au Portugal improbable. L'appelant est en outre déjà revenu en Suisse après avoir, selon ses dires, séjourné au Portugal, pour commettre de nouvelles infractions, de sorte que ce projet n'a rien de rassurant. Faute de connaître avec certitude sa nationalité, la CPAR ne peut subordonner la libération conditionnelle à un renvoi en Guinée Bissau. Dans ces circonstances, le pronostic doit être qualifié de défavorable, de sorte que la libération conditionnelle ne peut être octroyée.</w:t>
      </w:r>
    </w:p>
    <w:p>
      <w:r>
        <w:rPr>
          <w:b/>
        </w:rPr>
        <w:t>E. 3</w:t>
      </w:r>
    </w:p>
    <w:p>
      <w:r>
        <w:t>L'appelant, qui succombe, sera condamné aux frais de la procédure d'appel, qui comprennent un émolument de jugement de CHF 400.- (art. 428 al. 1 CPP par analogie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