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PM/939/2013 vom 14. November 2013</w:t>
      </w:r>
    </w:p>
    <w:p>
      <w:r>
        <w:t>GE Cour de justice, 2013-11-14, FR</w:t>
      </w:r>
    </w:p>
    <w:p>
      <w:r>
        <w:rPr>
          <w:b/>
        </w:rPr>
        <w:t xml:space="preserve">Quelle: </w:t>
      </w:r>
      <w:r>
        <w:t>https://mcp.opencaselaw.ch/entscheid/ge_gerichte_PM_939_2013</w:t>
      </w:r>
    </w:p>
    <w:p>
      <w:r>
        <w:t>FR: GE_GERICHTE PM/939/2013 du 14 novembre 2013</w:t>
      </w:r>
    </w:p>
    <w:p>
      <w:r>
        <w:t>IT: GE_GERICHTE PM/939/2013 del 14 novembre 2013</w:t>
      </w:r>
    </w:p>
    <w:p>
      <w:pPr>
        <w:pStyle w:val="Heading2"/>
      </w:pPr>
      <w:r>
        <w:t>Regeste</w:t>
      </w:r>
    </w:p>
    <w:p>
      <w:r>
        <w:t>EXÉCUTION DES PEINES ET DES MESURES; 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Schweizerisches Strafgesetzbuch : Praxiskommentar , Zurich, 2008, n. 8-9 ad. art. 86) . Il convient par ailleurs d'examiner si le danger que représente le détenu au moment de sa libération augmenterait, diminuerait ou resterait inchangé en cas d'exécution complète de la peine (V. MAIRE in : A. KUHN / L. MOREILLON / B. VIREDAZ / A. BISCHOFSKY, op. cit.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2.2</w:t>
      </w:r>
    </w:p>
    <w:p>
      <w:r>
        <w:t>En l’espèce, la condition objective prévue par l’art. 86 al. 1 CP est réalisée depuis le 26 septembre 2013 et la prison de Champ-Dollon a qualifié le comportement en détention de l’intéressé de correct. Les deux premières conditions de la libération conditionnelle sont donc réalisées. Reste à examiner le pronostic sur le comportement futur. Le SAPEM estime que le pronostic est négatif, vu les antécédents de X______ et sa récidive durant le délai d’épreuve d’une précédente libération conditionnelle. Quant au Ministère public, il a conclu à l’octroi de la libération conditionnelle, à l’aide d’un timbre humide et sans motiver davantage sa position. La Cour relève, à l’instar des premiers juges et du SAPEM, que les antécédents judiciaires de X______ sont très mauvais. L’intéressé a en effet été condamné à six reprises entre 1999 et 2011 pour des infractions répétées contre le patrimoine. Même si ces condamnations sont espacées dans le temps, les périodes pénales sont beaucoup plus rapprochées, dans la mesure où la première condamnation qui figure au casier judiciaire, prononcée le 21 mai 1999, concerne des faits qui remontent pour les plus anciens à 1988, la période pénale s’étendant jusqu’en avril 1991, alors que la condamnation du 16 novembre 2007 concerne des faits qui se sont déroulés entre 1995 et 1998. En outre, cette répétition d’actes délictueux contre le patrimoine s’étale sur une très longue période, d’environ vingt-cinq ans, ce qui démontre que l’appelant est enraciné dans la délinquance et qu’il n’a aucun scrupule. L’appelant relève qu’il pourra, à sa sortie de prison, compter sur un solide soutien familial et disposer d’un logement et d’un travail, ces éléments permettant selon lui de retenir que le pronostic d’avenir n’est pas défavorable. Or, l’appelant s’était déjà prévalu, lors de l’examen de sa précédente libération conditionnelle, de la possibilité de travailler et de se loger et de l’existence de liens familiaux (une épouse), ce qui ne l’a pas dissuadé de récidiver durant le délai d’épreuve. En outre, le TAPEM avait assorti la libération de 2009 d’une assistance de probation, qui s’est avérée inefficace. On ne voit ainsi pas pour quel motif les mesures d’accompagnement de nature administrative préconisées par le SPI auraient davantage de succès cette fois-ci. Il en va de même de la psychothérapie que l’appelant se déclare prêt à suivre, et qui pourrait être ordonnée à titre de règle de conduite, dès lors qu’un tel suivi était déjà en place en 2009. La Cour observe aussi que la prise de conscience de l’appelant par rapport à ses antécédents judiciaires est très imparfaite. Au sujet des condamnations prononcées par les tribunaux monégasques en 2011, l’intéressé a déclaré aux premiers juges « avoir compris » qu’il avait été condamné pour avoir émis un chèque en relation avec la location d’une villa, tout en ajoutant qu’il n’avait pas pu participer à son procès car il était détenu à Genève, ce qui est faux. En effet, entre le 25 août 2009, date de son élargissement par le TAPEM, et le 2 juin 2012, date de son arrestation, l’appelant se trouvait en liberté. En outre, ces deux condamnations émanent d’une Cour d’appel et remplacement des jugements précédemment prononcés ; elles ne mentionnent nullement qu’elles seraient intervenues par défaut. Enfin, l’appelant conteste une partie des faits à l’origine de sa dernière condamnation par le Tribunal correctionnel, indiquant avoir accepté la procédure simplifiée pour en finir au plus vite, ce qui n’est guère convaincant. Force est ainsi de constater que le pronostic est en l’espèce concrètement défavorable et que le prononcé d’une assistance de probation ou de règles de conduite n’est pas susceptible d’avoir davantage d’effets bénéfiques sur l’appelant que le fait de purger la peine jusqu’au bout, dans la mesure où des mesures d’accompagnement avaient déjà été ordonnées lors de la précédente libération conditionnelle, qui s’est soldée par un échec. Il appartient à l’appelant, qui vient d’entreprendre une thérapie en prison, de mettre à profit ces derniers mois de détention pour préparer sa sortie.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