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PM/91/2021 vom 16. Februar 2021</w:t>
      </w:r>
    </w:p>
    <w:p>
      <w:r>
        <w:t>GE Cour de justice, 2021-02-16, FR</w:t>
      </w:r>
    </w:p>
    <w:p>
      <w:r>
        <w:rPr>
          <w:b/>
        </w:rPr>
        <w:t xml:space="preserve">Quelle: </w:t>
      </w:r>
      <w:r>
        <w:t>https://mcp.opencaselaw.ch/entscheid/ge_gerichte_PM_91_2021</w:t>
      </w:r>
    </w:p>
    <w:p>
      <w:r>
        <w:t>FR: GE_GERICHTE PM/91/2021 du 16 février 2021</w:t>
      </w:r>
    </w:p>
    <w:p>
      <w:r>
        <w:t>IT: GE_GERICHTE PM/91/2021 del 16 febbraio 2021</w:t>
      </w:r>
    </w:p>
    <w:p>
      <w:pPr>
        <w:pStyle w:val="Heading2"/>
      </w:pPr>
      <w:r>
        <w:t>Regeste</w:t>
      </w:r>
    </w:p>
    <w:p>
      <w:r>
        <w:t>LIBÉRATION CONDITIONNELLE;REITERATION | CP.86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au sens de l'art. 393 CPP est la voie de droit ouverte contre les prononcés rendus en matière de libération conditionnelle par le TAPEM (art. 42 al. 1 let. b LaCP cum ATF 141 IV 187 consid. 1.1 et les références citées),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 La procédure devant la Chambre de céans est régie par le CPP, applicable au titre de droit cantonal supplétif (art. 42 al. 2 LaCP).</w:t>
      </w:r>
    </w:p>
    <w:p>
      <w:r>
        <w:rPr>
          <w:b/>
        </w:rPr>
        <w:t>E. 2.2</w:t>
      </w:r>
    </w:p>
    <w:p>
      <w:r>
        <w:t>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3</w:t>
      </w:r>
    </w:p>
    <w:p>
      <w:r>
        <w:t>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 AARP/309/2013 du 11 juin 2013 consid. 2.2.3 et AARP/14/2014 du 8 janvier 2014 consid. 2.2.3).</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3.2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3.4</w:t>
      </w:r>
    </w:p>
    <w:p>
      <w:r>
        <w:t>En l'espèce, c'est à bon droit que le TAPEM a retenu un pronostic défavorable. Alors que l'intéressé a bénéficié, en 2015, d'une libération conditionnelle, il a été condamné en 2019, à une peine privative de liberté de 4 ans, pour crime contre la LStup avec mise en danger de la santé de nombreuses personnes (commis à réitérées reprises) et escroquerie, qu'il purge actuellement. La famille qu'il a créée ne l'a pas empêché de récidiver. Si son épouse a évoqué devant la CPAR un éventuel retour au Portugal, elle ne l'a pas confirmé à l'occasion de cette procédure. Compte tenu de la situation que celle-ci connait en Suisse grâce à l'aide de l'Hospice général, et des difficultés rencontrées avec ses deux fils et de leur placement, on ne peut imaginer un départ au pied levé de la famille pour le Portugal. Sans celle-ci, on voit mal comment le recourant pourrait s'établir dans ce pays, dont il n'a pas la nationalité, et y trouver du travail, en particulier en cette période particulièrement incertaine sur le plan sanitaire et économique. Il serait fort à craindre que pour subvenir à ses besoins il y commette des infractions, ce dont le juge suisse ne peut s'accommoder. Le projet de départ au Portugal apparaît dès lors peu réaliste et en tout hypothèse non préparé. Il paraît plus vraisemblable qu'il resterait en Suisse, avec sa famille. Or, faisant l'objet d'une expulsion, il pourrait disparaître dans la clandestinité et commettre des infractions pour survivre. Le risque de récidive est ainsi élevé.</w:t>
      </w:r>
    </w:p>
    <w:p>
      <w:r>
        <w:rPr>
          <w:b/>
        </w:rPr>
        <w:t>E. 4</w:t>
      </w:r>
    </w:p>
    <w:p>
      <w:r>
        <w:t>Justifié, le jugement querellé sera donc confirmé.</w:t>
      </w:r>
    </w:p>
    <w:p>
      <w:r>
        <w:rPr>
          <w:b/>
        </w:rPr>
        <w:t>E. 5</w:t>
      </w:r>
    </w:p>
    <w:p>
      <w:r>
        <w:t>Le recourant, qui succombe, supportera les frais envers l'État, arrêtés en totalité à CHF 600.-, y compris un émolument pour la présente décision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6</w:t>
      </w:r>
    </w:p>
    <w:p>
      <w:r>
        <w:t>L'indemnité du défenseur d'office - qui n'a ni chiffré ni a fortiori établi ses frais -, sera fixée à CHF 646.20 (TVA à 7.7 % incluse), correspondant à 3 heures au tarif horaire prévu à l'art. 16 al. 1 let. c RAJ pour un acte de 8 pages.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