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PM/899/2015 vom 15. Oktober 2015</w:t>
      </w:r>
    </w:p>
    <w:p>
      <w:r>
        <w:t>GE Cour de justice, 2015-10-15, FR</w:t>
      </w:r>
    </w:p>
    <w:p>
      <w:r>
        <w:rPr>
          <w:b/>
        </w:rPr>
        <w:t xml:space="preserve">Quelle: </w:t>
      </w:r>
      <w:r>
        <w:t>https://mcp.opencaselaw.ch/entscheid/ge_gerichte_PM_899_2015</w:t>
      </w:r>
    </w:p>
    <w:p>
      <w:r>
        <w:t>FR: GE_GERICHTE PM/899/2015 du 15 octobre 2015</w:t>
      </w:r>
    </w:p>
    <w:p>
      <w:r>
        <w:t>IT: GE_GERICHTE PM/899/2015 del 15 ottobre 2015</w:t>
      </w:r>
    </w:p>
    <w:p>
      <w:pPr>
        <w:pStyle w:val="Heading2"/>
      </w:pPr>
      <w:r>
        <w:t>Regeste</w:t>
      </w:r>
    </w:p>
    <w:p>
      <w:r>
        <w:t>LIBÉRATION CONDITIONNELLE | CP.86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ne pourrait tout au plus s'appliquer qu'au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300 al. 3 CPP par analogie) et devant l'autorité compétente (art. 42 al. 2 LaCP), l'appel est recevable.</w:t>
      </w:r>
    </w:p>
    <w:p>
      <w:r>
        <w:rPr>
          <w:b/>
        </w:rPr>
        <w:t>E. 2</w:t>
      </w:r>
    </w:p>
    <w:p>
      <w:r>
        <w:t>2.1 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S. TRECHSEL, op. cit. , n. 8-9 ad art. 86). Il convient par ailleurs d'examiner si le danger que représente le détenu au moment de sa libération augmenterait, diminuerait ou resterait inchangé en cas d'exécution complète de la peine (A. KUHN / L. MOREILLON / B. VIREDAZ / A. BISCHOFSKY, op. cit. , ibidem).</w:t>
      </w:r>
    </w:p>
    <w:p>
      <w:r>
        <w:rPr>
          <w:b/>
        </w:rPr>
        <w:t>E. 2.2</w:t>
      </w:r>
    </w:p>
    <w:p>
      <w:r>
        <w:t>En l'espèce, la condition objective de l'octroi de la libération conditionnelle est réalisée depuis le 26 septembre 2015. S'agissant de la condition subjective, il est vrai qu'on se trouve dans un cas limite, même en faisant abstraction du préavis défavorable de Champ-Dollon, les explications fournies par l'appelant n'étant pas dépourvues de fondement au vu de la violence de l'agression subie. L'appelant a des antécédents. Il reste que les trois condamnations concernent, partiellement pour la première et exclusivement pour les deux dernières, des violations de la LEtr inhérentes à un défaut de papiers de légitimation. Il s'ensuit que le risque de commission d'infractions d'une autre nature n'est pas significatif, la violation de la LCR pour une ivresse en tant que piéton n'autorisant pas une autre conclusion. Il est en tout état douteux que le seul risque de violation des règles sur le séjour des étrangers puisse faire échec à la libération conditionnelle. Au demeurant, l'appelant en est à sa première demande de ce type, ce qui n'a pas échappé au SAPEM qui a fourni un préavis positif. C'est en définitive la première fois que l'appelant est confronté à une longue période de détention, ce qui peut l'avoir amené à une réflexion approfondie sur l'échec de son séjour prolongé en Suisse. Certes, ses projets d'avenir sont peu étayés, encore qu'il est difficile d'avoir des exigences trop fortes pour un résident en Suisse dont le seul document d'identité est une "non-entrée en matière". L'affirmation selon laquelle l'appelant n'entend plus vivre dans l'illégalité après avoir subi plusieurs mois de détention est relativement probante, nonobstant des projets non documentés. Dans ces circonstances, il convient d'octroyer à l'appelant la libération conditionnelle, sans qu'il ne soit nécessaire de différer sa sortie au regard des circonstances, l'appelant pouvant franchir la frontière par ses propres moyens. Il a été au demeurant dûment informé que toute prolongation de son séjour en Suisse lui faisait prendre le risque d'une nouvelle interpellation en situation irrégulière. Le jugement dont est appel sera revu dans cette mesure et les frais de la procédure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