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PM/824/2016 vom 19. September 2016</w:t>
      </w:r>
    </w:p>
    <w:p>
      <w:r>
        <w:t>GE Cour de justice, 2016-09-19, FR</w:t>
      </w:r>
    </w:p>
    <w:p>
      <w:r>
        <w:rPr>
          <w:b/>
        </w:rPr>
        <w:t xml:space="preserve">Quelle: </w:t>
      </w:r>
      <w:r>
        <w:t>https://mcp.opencaselaw.ch/entscheid/ge_gerichte_PM_824_2016</w:t>
      </w:r>
    </w:p>
    <w:p>
      <w:r>
        <w:t>FR: GE_GERICHTE PM/824/2016 du 19 septembre 2016</w:t>
      </w:r>
    </w:p>
    <w:p>
      <w:r>
        <w:t>IT: GE_GERICHTE PM/824/2016 del 19 settembre 2016</w:t>
      </w:r>
    </w:p>
    <w:p>
      <w:pPr>
        <w:pStyle w:val="Heading2"/>
      </w:pPr>
      <w:r>
        <w:t>Regeste</w:t>
      </w:r>
    </w:p>
    <w:p>
      <w:r>
        <w:t>EXTRADITION; LIBÉRATION CONDITIONNELLE; ANTÉCÉDENT; PRONOSTIC | CP.86; RAJ.16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w:t>
      </w:r>
    </w:p>
    <w:p>
      <w:r>
        <w:t>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du recourant est réalisée depuis le 5 septembre 2016. La condition subjective ne l'est en revanche pas. Les préavis de la direction des établissements pénitentiaires constituent des éléments favorables qui ne sauraient toutefois à eux seuls conduire à l'octroi d'une libération conditionnelle. Le recourant a de très nombreux antécédents judiciaires spécifiques et lourds en Allemagne et en Autriche, ce qui dénote un ancrage fort dans la délinquance. Le risque de récidive est d'autant plus élevé que le recourant est coutumier d'infractions contre le patrimoine et que sa situation est précaire. Il n'avait d'ailleurs pas tiré les leçons s'imposant de plusieurs années de prison subies à l'étranger, pour avoir récidivé lors de son séjour en Suisse. Les regrets exprimés en audience paraissent circonstanciels et ne reflètent pas une véritable prise de conscience. Son projet de retourner vivre au Kosovo, où il ne s'est rendu tout au plus que quelques temps en 2004 suite à son renvoi d'Allemagne, puis en 2012-2013, et d'y travailler, n'apparaît ni concret ni étayé. Il n'a notamment nullement documenté l'existence du bar où il avait l'intention de travailler ou la situation de sa famille. Son projet n'apparait de surcroit pas réalisable immédiatement au vu de la demande d'extradition en Autriche acceptée par les autorités suisses. À cet égard, l'allégation de l'absence d'un risque de réitération sur le territoire national ne saurait être un motif d'octroi de la libération conditionnelle, le juge suisse ne pouvant s'accommoder d'un tel risque à l'étranger. En conclusion, la condition subjective d'une libération conditionnelle n'est, en l'état, pas réalisée, de sorte que le jugement du TAPEM doit être confirmé. Le recours est rejeté.</w:t>
      </w:r>
    </w:p>
    <w:p>
      <w:r>
        <w:rPr>
          <w:b/>
        </w:rPr>
        <w:t>E. 3</w:t>
      </w:r>
    </w:p>
    <w:p>
      <w:r>
        <w:t>Les frais de la procédure de recours seront mis à la charge du recourant, qui succombe. 4.1. 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 En l'occurrence, le dossier était nécessairement bien connu du défenseur d'office, celui-ci ayant déjà assisté le recourant devant les premiers juges. La CPAR admettra, au titre du travail antérieur à l'audience de recours, une activité de deux heures au tarif d'avocat-stagiaire, considérant excessives les deux heures quarante-cinq portées à l'état de frais, dont aucune au tarif réservé aux stagiaires, alors qu'on imagine mal que l'audience n'ait pas été préparée par celui qui s'y est rendu. L'audience a duré une heure, plus la vacation indemnisée forfaitairement. En conclusion, l'indemnité sera arrêtée à CHF 298.10 correspondant à trois heures d'activité de l'avocat-stagiaire, plus la vacation par CHF 35.-, la majoration forfaitaire de 20% pour activités diverses (CHF 46.00) et l'équivalent de la TVA au taux de 8%, en CHF 22.10.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