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PM/77/2016 vom 29. Februar 2016</w:t>
      </w:r>
    </w:p>
    <w:p>
      <w:r>
        <w:t>GE Cour de justice, 2016-02-29, FR</w:t>
      </w:r>
    </w:p>
    <w:p>
      <w:r>
        <w:rPr>
          <w:b/>
        </w:rPr>
        <w:t xml:space="preserve">Quelle: </w:t>
      </w:r>
      <w:r>
        <w:t>https://mcp.opencaselaw.ch/entscheid/ge_gerichte_PM_77_2016</w:t>
      </w:r>
    </w:p>
    <w:p>
      <w:r>
        <w:t>FR: GE_GERICHTE PM/77/2016 du 29 février 2016</w:t>
      </w:r>
    </w:p>
    <w:p>
      <w:r>
        <w:t>IT: GE_GERICHTE PM/77/2016 del 29 febbraio 2016</w:t>
      </w:r>
    </w:p>
    <w:p>
      <w:pPr>
        <w:pStyle w:val="Heading2"/>
      </w:pPr>
      <w:r>
        <w:t>Regeste</w:t>
      </w:r>
    </w:p>
    <w:p>
      <w:r>
        <w:t>LIBÉRATION CONDITIONNELLE; PRONOSTIC; DISPOSITIONS PÉNALES DE LA LETR; DISPOSITIONS PÉNALES DE LA LSTUP; CANNABIS | CP.86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seulement qu'il ne soit pas à craindre qu'il ne commette de nouveaux crimes ou délits. Autrement dit, il n'est plus nécessaire, pour l'octroi de la libération conditionnelle, qu'un pronostic favorable puisse être posé. Il suffit que le pronostic ne soit pas défavorable (ATF 133 IV 201 consid. 2.2 p. 203 ; arrêts du Tribunal fédéral 6B_757/2014 du 17 décembre 2014 consid. 2.2 et 6B_259/2014 du 5 juin 2014 consid. 2.2).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 voir dans ce sens ATF 125 IV 113 consid. 2a p. 115) et, surtout, le degré de son éventuel amendement ainsi que les conditions dans lesquelles il est à prévoir qu'il vivra (ATF 133 IV 201 et arrêts du Tribunal fédéral 6B_757/2014 et 6B_259/2014 précités).</w:t>
      </w:r>
    </w:p>
    <w:p>
      <w:r>
        <w:rPr>
          <w:b/>
        </w:rPr>
        <w:t>E. 2.2</w:t>
      </w:r>
    </w:p>
    <w:p>
      <w:r>
        <w:t>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 Berne, 2006, p. 361).</w:t>
      </w:r>
    </w:p>
    <w:p>
      <w:r>
        <w:rPr>
          <w:b/>
        </w:rPr>
        <w:t>E. 3</w:t>
      </w:r>
    </w:p>
    <w:p>
      <w:r>
        <w:t>En l'espèce, la condition objective prévue par l'art. 86 al. 1 CP est réalisée depuis le 16 février 2016. S'agissant du pronostic, le préavis positif de la prison de Champ-Dollon constitue un élément favorable mais insuffisant, ce d'autant que le SAPEM et le Ministère public ont émis des préavis négatifs. Sur le plan subjectif, il est indéniable qu'il s'agit d'un cas limite. En effet, l'appelant a de nombreux antécédents judiciaires, a déjà bénéficié d'une libération conditionnelle et, compte tenu notamment de sa situation administrative, n'a pas de projets d'avenir étayés. Force est cependant de constater que les infractions qu'il a commises ne sont pas d'une gravité significative, au point de considérer que l'intéressé présenterait un réel danger pour la collectivité en cas de libération anticipée, s'agissant principalement de ventes de marijuana et d'infractions à la législation sur les étrangers. En toute hypothèse, le danger que représente l'appelant n'apparaît pas plus important en cas de libération anticipée que s'il devait intégralement exécuter sa peine de prison, dont le terme est prévu pour le mois de juin. Par ailleurs, on ne saurait perdre de vue le fait que l'appelant, après avoir exécuté quelques courtes peines de prison, se trouve pour la première fois incarcéré pour une relativement longue durée, soit depuis environ huit mois, de sorte que l'on peut raisonnablement compter sur l'effet dissuasif de la peine subie à ce jour et de celle qu'il serait amené à accomplir en cas d'échec d'une libération conditionnelle. Dans ces conditions, le pronostic, même s'il demeure incertain, n'est pas complètement défavorable. Aussi, il convient de lui accorder la libération conditionnelle. Il sied toutefois d'attirer l'attention de l'appelant sur le fait que s'il devait, durant le délai d'épreuve, commettre un nouveau crime ou un délit, sa réincarcération pour le solde de sa peine pourra être ordonnée, nonobstant une nouvelle peine ou mesure (art. 89 al. 1 et 3 CP).</w:t>
      </w:r>
    </w:p>
    <w:p>
      <w:r>
        <w:rPr>
          <w:b/>
        </w:rPr>
        <w:t>E. 4</w:t>
      </w:r>
    </w:p>
    <w:p>
      <w:r>
        <w:t>L'appel ayant été admis, les frais de la procédure d'appel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