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PM/770/2025 vom 21. August 2025</w:t>
      </w:r>
    </w:p>
    <w:p>
      <w:r>
        <w:t>GE Cour de justice, 2025-08-21, FR</w:t>
      </w:r>
    </w:p>
    <w:p>
      <w:r>
        <w:rPr>
          <w:b/>
        </w:rPr>
        <w:t xml:space="preserve">Quelle: </w:t>
      </w:r>
      <w:r>
        <w:t>https://mcp.opencaselaw.ch/entscheid/ge_gerichte_PM_770_2025</w:t>
      </w:r>
    </w:p>
    <w:p>
      <w:r>
        <w:t>FR: GE_GERICHTE PM/770/2025 du 21 août 2025</w:t>
      </w:r>
    </w:p>
    <w:p>
      <w:r>
        <w:t>IT: GE_GERICHTE PM/770/2025 del 21 agosto 2025</w:t>
      </w:r>
    </w:p>
    <w:p>
      <w:pPr>
        <w:pStyle w:val="Heading2"/>
      </w:pPr>
      <w:r>
        <w:t>Regeste</w:t>
      </w:r>
    </w:p>
    <w:p>
      <w:r>
        <w:t>LIBÉRATION CONDITIONNELLE;RISQUE DE RÉCIDIVE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w:t>
      </w:r>
    </w:p>
    <w:p>
      <w:r>
        <w:rPr>
          <w:b/>
        </w:rPr>
        <w:t>E. 1.2</w:t>
      </w:r>
    </w:p>
    <w:p>
      <w:r>
        <w:t>La procédure devant la Chambre de céans est régie par le CPP, applicable au titre de droit cantonal supplétif (art. 42 al. 3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au refus de sa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3.2</w:t>
      </w:r>
    </w:p>
    <w:p>
      <w:r>
        <w:t>En l'espèce, la condition temporelle d'une libération conditionnelle est réalisée depuis le 17 août 2025. Bien que le comportement du recourant en détention ne s'oppose pas à sa libération conditionnelle, cet élément, ayant amené la direction de la prison à émettre un préavis favorable, ne saurait toutefois conduire, à lui seul, à l'octroi d'une libération conditionnelle. Tant le préavis du SRSP, que celui du Ministère public, sont négatifs. S'agissant du pronostic, force est de constater qu'il se présente sous un jour fort défavorable. En effet, le recourant a déjà été condamné à seize reprises entre mars 2013 et août 2024, principalement pour des infractions à la LEI et des vols, mais également pour voies de fait, menaces, violence ou menace contre les autorités ou les fonctionnaires, exhibitionnisme, violations de domicile et lésions corporelles simples par négligence. Aucune de ces condamnations ne l'a dissuadé de réitérer ses agissements répréhensibles, pas plus que les deux libérations conditionnelles dont il a bénéficié, l'une d'entre elles ayant d'ailleurs dû être révoquée. Comme l'a relevé à juste titre le premier juge, loin d'avoir diminué, son activité délictuelle a au contraire augmenté, ainsi qu'en attestent les huit condamnations dont il a fait l'objet en l'espace de seulement deux mois. À cela s'ajoute que le recourant ne parait pas avoir mené de véritable réflexion sur son parcours délictuel, banalisant les faits pour lesquels il avait été condamné, faisant preuve de méfiance envers les autorités, de peu d'introspection et se présentant comme une victime. Bien qu'il fasse part de son intention de retourner en Roumanie pour y travailler dans la récolte de truffes, le bâtiment ou la vente de vêtements, son projet apparaît peu étayé et rien n'indique qu'il puisse être mis en œuvre. Il est par ailleurs permis de douter des intentions du recourant à cet égard, étant relevé que, nonobstant la décision de renvoi prononcée en avril 2024 et le délai lui ayant été imparti pour quitter le territoire, il a persisté à séjourner en Suisse et à y commettre des infractions. Il est ainsi à craindre, en cas de sortie de prison, que le recourant, faute de projet de vie concret et réalisable, et qui ne peut par ailleurs s'appuyer sur un réseau social structurant susceptible de favoriser sa réinsertion, persiste à commettre de nouvelles infractions. Il apparaît donc nécessaire qu'il poursuive l'exécution de sa peine, avant d'envisager sa libération définitive. Les conditions d'une mise en liberté conditionnelle ne sont ainsi, en l'état, pas réalisées.</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