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PM/759/2023 vom 22. September 2023</w:t>
      </w:r>
    </w:p>
    <w:p>
      <w:r>
        <w:t>GE Cour de justice, 2023-09-22, FR</w:t>
      </w:r>
    </w:p>
    <w:p>
      <w:r>
        <w:rPr>
          <w:b/>
        </w:rPr>
        <w:t xml:space="preserve">Quelle: </w:t>
      </w:r>
      <w:r>
        <w:t>https://mcp.opencaselaw.ch/entscheid/ge_gerichte_PM_759_2023</w:t>
      </w:r>
    </w:p>
    <w:p>
      <w:r>
        <w:t>FR: GE_GERICHTE PM/759/2023 du 22 septembre 2023</w:t>
      </w:r>
    </w:p>
    <w:p>
      <w:r>
        <w:t>IT: GE_GERICHTE PM/759/2023 del 22 settembre 2023</w:t>
      </w:r>
    </w:p>
    <w:p>
      <w:pPr>
        <w:pStyle w:val="Heading2"/>
      </w:pPr>
      <w:r>
        <w:t>Regeste</w:t>
      </w:r>
    </w:p>
    <w:p>
      <w:r>
        <w:t>TRAITEMENT AMBULATOIRE;PROLONGATION | CP.63; CP.63a; CP.56.al2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CPP).![endif]&gt;![if&gt;</w:t>
      </w:r>
    </w:p>
    <w:p>
      <w:r>
        <w:rPr>
          <w:b/>
        </w:rPr>
        <w:t>E. 2</w:t>
      </w:r>
    </w:p>
    <w:p>
      <w:r>
        <w:t>Le recourant se plaint d'une constatation incomplète des faits par l'autorité précédente (art. 393 al. 2 let. b CPP).![endif]&gt;![if&gt; Comme la juridiction de céans dispose d'un plein pouvoir de cognition (art. 393 al. 2 CPP; arrêt du Tribunal fédéral 1B_139/2022 du 2 mai 2022 consid. 2.2), les éventuelles lacunes entachant le jugement querellé auront été corrigées dans l'état de fait établi ci-avant. Le grief sera donc rejeté.</w:t>
      </w:r>
    </w:p>
    <w:p>
      <w:r>
        <w:rPr>
          <w:b/>
        </w:rPr>
        <w:t>E. 3.1</w:t>
      </w:r>
    </w:p>
    <w:p>
      <w:r>
        <w:t>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état.![endif]&gt;![if&gt;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(art. 63 al. 4 CP). La mesure ne prend pas fin avec l'écoulement du temps, mais dure en principe le temps nécessaire pour que son but soit atteint ou jusqu'à ce qu'il paraisse exclu qu'il puisse l'être (ATF 143 IV 445 consid. 2.2; 141 IV 236 consid. 3.5.; 141 IV 49 consid. 2.1.).</w:t>
      </w:r>
    </w:p>
    <w:p>
      <w:r>
        <w:rPr>
          <w:b/>
        </w:rPr>
        <w:t>E. 3.2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lorsque celui-ci s’est achevé avec succès (al. 2 let. a), si sa poursuite paraît vouée à l’échec (al. 2 let. b) ou à l’expiration de la durée légale maximale du traitement des personnes dépendantes de l’alcool, de stupéfiants ou de médicaments (al. 2 let. c).</w:t>
      </w:r>
    </w:p>
    <w:p>
      <w:r>
        <w:rPr>
          <w:b/>
        </w:rPr>
        <w:t>E. 3.3</w:t>
      </w:r>
    </w:p>
    <w:p>
      <w:r>
        <w:t>Selon la jurisprudence, un traitement ambulatoire doit être levé lorsqu'il n'existe plus de risque que le condamné commette d'autres infractions ou que le trouble psychique ayant motivé la mise en place de la mesure a disparu. Dans le premier cas, on vise la possibilité pour l'intéressé de gérer ses problèmes de manière socialement acceptable malgré la persistance du trouble. Le second cas vise la guérison de la personne concernée, ce qui inclut une stabilisation de l'état de la personne concernée grâce aux efforts thérapeutiques (ATF 122 IV 8 consid. 3a; arrêt du Tribunal fédéral 6B_1147/2020 du 26 avril 2021 consid. 3.3.1). Les conditions régissant la levée du traitement ambulatoire correspondent à celles prévues à l'art. 56 al. 6 CP, qui dispose qu'une mesure dont les conditions ne sont plus remplies doit être levée. Dans l'appréciation de la situation, l'autorité doit notamment examiner l'état de la personne et le risque qu'elle passe à nouveau à l'acte (L. MOREILLON / Nicolas QUELOZ / Alain MACALUSO / Nathalie DONGOIS (éds), op. cit. , N. 8 ad art. 63a et l'ATF 122 IV 8 consid. 3a cité).</w:t>
      </w:r>
    </w:p>
    <w:p>
      <w:r>
        <w:rPr>
          <w:b/>
        </w:rPr>
        <w:t>E. 3.4</w:t>
      </w:r>
    </w:p>
    <w:p>
      <w:r>
        <w:t>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D'autre part,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 et les références citées).</w:t>
      </w:r>
    </w:p>
    <w:p>
      <w:r>
        <w:rPr>
          <w:b/>
        </w:rPr>
        <w:t>E. 3.5</w:t>
      </w:r>
    </w:p>
    <w:p>
      <w:r>
        <w:t>En l'espèce, l'expertise psychiatrique du 13 avril 2016 – dont la pertinence et l'actualité ont été confirmés par l'expertise ultérieure du 25 janvier 2018 – a diagnostiqué le recourant comme souffrant d'un trouble grave de la personnalité de sévérité moyenne. Un traitement ambulatoire était préconisé pour réduire le risque de récidive et améliorer certains traits de sa personnalité, étant relevé que, selon le complément d'expertise du 10 novembre 2016, la dangerosité présentée par le recourant était liée à son impulsivité, sa difficulté à anticiper les conséquences de ses actes, son immaturité, le manque d'introspection et ses très faibles capacités d'empathie. Le traitement, en place depuis presque cinq ans, progresse de manière satisfaisante et a permis au recourant de stabiliser son état psychique, progresser dans la gestion de ses émotions et de la frustration, verbaliser des remords quant aux infractions pour lesquelles il a été condamné et se montrer critique face à ses passages à l'acte, et reconnaitre son fonctionnement comme étant problématique. Nonobstant lesdits progrès, le SMPP souligne la nécessité pour le recourant, sujet à une certaine anxiété, d'être soutenu, ce que ce dernier reconnait, verbalisant avoir des difficultés à se projeter. Les objectifs thérapeutiques visent donc à poursuivre le travail autour de son fonctionnement psychique (développement de l'image de soi, de capacités d'affirmation adaptées, de capacités empathiques, et de la gestion des émotions et des frustrations) et à lui apporter un soutien dans son quotidien ainsi que sa formation. Sur ce dernier point, indépendamment des raisons de ses absences, il apparait essentiel que le recourant travaille, dans le cadre du suivi thérapeutique, sur des thèmes pouvant influencer son investissement professionnel – présent ou futur – et a fortiori la formation entreprise, dès lors que ceux-ci ont un impact sur son projet de réinsertion, ses troubles du comportement et donc sur le risque de récidive. En outre, si le recourant préfère prioriser ses révisions ou ses appels téléphoniques à d'autres loisirs en commun durant son temps libre, ce choix implique de facto un isolement social, ce qui représente aussi un facteur de récidive. La prolongation de la mesure pour une durée de trois ans n'apparait donc en rien disproportionnée, ce d'autant que la situation du recourant sera réexaminée lors du prochain contrôle annuel. Ainsi, l'atteinte à sa liberté personnelle engendrée par la mesure demeure raisonnable au regard de ses effets positifs sur lui et du risque de récidive qu'il continue à présenter, selon la dernière évaluation effectuée par l'UEC, en cas d'interruption du traitement. Même si la mesure a été ordonnée il y a presque cinq ans, l'amélioration de son état psychique est somme toute récente et doit encore être consolidée pour atteindre les divers objectifs thérapeutiques précités. Le souhait du recourant à pouvoir développer une relation thérapeutique stable n'est pas incompatible avec la durée de la mesure ordonnée. En outre, l'on ne saurait suivre le recourant lorsqu'il soutient que les changements périodiques de professionnels de la santé ne lui permettraient pas d'atteindre le but visé par la mesure, dès lors que l'évolution est favorable, au regard des développements qui précèdent. Enfin, l'intéressé semble reprocher à " l'État " de ne pas lui offrir un " établissement approprié ". Quoiqu'il en soit, il n'appartient pas à la Chambre de céans de désigner l'institution d'exécution de la mesure, tâche qui incombent aux autorités d'exécution (R. ROTH/ L. MOREILLON (éds), Commentaire romand, Code pénal I, art. 1-110 CP , 2 ème éd., Bâle 2021, n. 51 ad art. 56 CP), ou a fortiori les praticiens.</w:t>
      </w:r>
    </w:p>
    <w:p>
      <w:r>
        <w:rPr>
          <w:b/>
        </w:rPr>
        <w:t>E. 4</w:t>
      </w:r>
    </w:p>
    <w:p>
      <w:r>
        <w:t>Justifié, le jugement entrepris sera donc confirmé.![endif]&gt;![if&gt;</w:t>
      </w:r>
    </w:p>
    <w:p>
      <w:r>
        <w:rPr>
          <w:b/>
        </w:rPr>
        <w:t>E. 5</w:t>
      </w:r>
    </w:p>
    <w:p>
      <w:r>
        <w:t>Le recourant demande à être assisté de M e B______ dans le cadre de la procédure de recours. ![endif]&gt;![if&gt;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le cas particulier de la procédure disciplinaire , in RPS 132/2014 p. 92ss, pp. 94-95). ![endif]&gt;![if&gt; Dans un arrêt ancien (ATF 117 Ia 277 consid. 5 p. 281), le Tribunal fédéral a reconnu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![endif]&gt;![if&gt;</w:t>
      </w:r>
    </w:p>
    <w:p>
      <w:r>
        <w:rPr>
          <w:b/>
        </w:rPr>
        <w:t>E. 5.3</w:t>
      </w:r>
    </w:p>
    <w:p>
      <w:r>
        <w:t>En l'espèce, eu égard aux développements qui précèdent, le recours était voué à l'échec. En outre, dans la mesure où le recourant ne conteste que la durée de la mesure thérapeutique, la cause ne présentait pas de difficulté particulière et la situation n'est pas susceptible de lui causer de graves conséquences.![endif]&gt;![if&gt; Il en résulte que la demande de nomination d'un défenseur d'office doit être refusée.</w:t>
      </w:r>
    </w:p>
    <w:p>
      <w:r>
        <w:rPr>
          <w:b/>
        </w:rPr>
        <w:t>E. 6</w:t>
      </w:r>
    </w:p>
    <w:p>
      <w:r>
        <w:t>Le recourant, qui succombe, supportera les frais envers l'État, fixés en totalité à CHF 600.- (art. 428 al. 1 CPP et 13 al. 1 du Règlement fixant le tarif des frais en matière pénale, RTFMP ; E 4 10.03).![endif]&gt;![if&gt; Le refus de l'assistance juridique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