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PM/720/2024 vom 22. Juli 2024</w:t>
      </w:r>
    </w:p>
    <w:p>
      <w:r>
        <w:t>GE Cour de justice, 2024-07-22, FR</w:t>
      </w:r>
    </w:p>
    <w:p>
      <w:r>
        <w:rPr>
          <w:b/>
        </w:rPr>
        <w:t xml:space="preserve">Quelle: </w:t>
      </w:r>
      <w:r>
        <w:t>https://mcp.opencaselaw.ch/entscheid/ge_gerichte_PM_720_2024</w:t>
      </w:r>
    </w:p>
    <w:p>
      <w:r>
        <w:t>FR: GE_GERICHTE PM/720/2024 du 22 juillet 2024</w:t>
      </w:r>
    </w:p>
    <w:p>
      <w:r>
        <w:t>IT: GE_GERICHTE PM/720/2024 del 22 luglio 2024</w:t>
      </w:r>
    </w:p>
    <w:p>
      <w:pPr>
        <w:pStyle w:val="Heading2"/>
      </w:pPr>
      <w:r>
        <w:t>Regeste</w:t>
      </w:r>
    </w:p>
    <w:p>
      <w:r>
        <w:t>LIBÉRATION CONDITIONNELLE;PRONOSTIC | CP.86</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 6B_158/2013 du 25 avril 2013 consid. 2.1 ; Y. JEANNERET/A. KUHN/C. PERRIER DEPEURSINGE (éds), Commentaire romand, Code de procédure pénale suisse , 2 ème éd., Bâle 2019, n. 30 ad art. 363 CPP).</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385 al. 1, 390 al. 1 et 396 al. 1 CPP) par le condamné, qui a un intérêt juridiquement protégé à l'annulation ou à la modification de la décision querellée (art. 382 al. 1 CPP).</w:t>
      </w:r>
    </w:p>
    <w:p>
      <w:r>
        <w:rPr>
          <w:b/>
        </w:rPr>
        <w:t>E. 1.4</w:t>
      </w:r>
    </w:p>
    <w:p>
      <w:r>
        <w:t>La pièce nouvelle produite est également recevable (arrêts du Tribunal fédéral 7B_1011/2023 du 11 janvier 2024 consid. 3.4 ;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TAPEM d'avoir constaté les faits de manière erronée. Dès lors que la Chambre de céans jouit d'un plein pouvoir de cognition en droit et en fait (art. 393 al. 2 CPP ; ATF 137 I 195 consid. 2.3.2), les éventuelles constatations incomplètes ou inexactes du TAPEM auront été corrigées dans l'état de fait établi ci-devant. Il est cependant précisé que les affirmations visées, exposées dans la partie en droit de la décision, font partie du raisonnement de l'autorité précédente, qui consistait à évaluer la valeur qu'avait donné le recourant à sa première libération conditionnelle au regard des éléments objectifs du dossier. Quoi qu'il en soit, il apparaît que les affirmations contestées ont correctement été constatées dans la partie en fait de la décision, le TAPEM ayant bien indiqué que le recourant avait récidivé en octobre 2022 et qu'il était alors sous le coup d'une expulsion judiciaire d'une durée de 10 ans. Partant, ce grief sera rejeté.</w:t>
      </w:r>
    </w:p>
    <w:p>
      <w:r>
        <w:rPr>
          <w:b/>
        </w:rPr>
        <w:t>E. 4</w:t>
      </w:r>
    </w:p>
    <w:p>
      <w:r>
        <w:t>Le recourant estime remplir les conditions d'une libération conditionnelle.</w:t>
      </w:r>
    </w:p>
    <w:p>
      <w:r>
        <w:rPr>
          <w:b/>
        </w:rPr>
        <w:t>E. 4.1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 arrêts du Tribunal fédéral 7B_678/2023 du 27 octobre 2023 consid. 2.2.2 ; 7B_388/2023 du 29 septembre 2023 consid. 2.2 ; 7B_308/2023 du 28 juillet 2023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arrêts du Tribunal fédéral 7B_678/2023 du 27 octobre 2023 précité consid. 2.2.2). Par sa nature même, le pronostic ne saurait être tout à fait sûr ; force est de se contenter d'une certaine probabilité ;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consid. 3.2 ; 124 IV 97 consid. 2c ; arrêts du Tribunal fédéral 7B_678/2023 du 27 octobre 2023 précité consid. 2.2.2 ; 7B_388/2023 du 29 septembre 2023 précité consid. 2.2).</w:t>
      </w:r>
    </w:p>
    <w:p>
      <w:r>
        <w:rPr>
          <w:b/>
        </w:rPr>
        <w:t>E. 4.2</w:t>
      </w:r>
    </w:p>
    <w:p>
      <w:r>
        <w:t>En l'espèce, les préavis favorables de l'établissement pénitentiaire de B______ et du SAPEM font état du comportement globalement bon du recourant en détention et des efforts déployés pour planifier sa réinsertion professionnelle, qui semble effectivement bien avancée en l'état. Si le SAPEM voit dans le projet de réinsertion du recourant la seule possibilité de réduire le risque de récidive à long terme, il a aussi émis des réserves s'agissant du pronostic, vu ses antécédents spécifiques et sa propension à s'adonner au trafic de stupéfiants, lorsque ses objectifs économiques ne sont pas réalisés. Le pronostic avait déjà été réservé par le TAPEM au moment de sa première libération conditionnelle, vu ses antécédents ; il avait toutefois décidé de lui octroyer une chance, en l'absence de libération conditionnelle préexistante. Logiquement, le TAPEM a estimé que le pronostic était aujourd'hui nettement défavorable, la première libération conditionnelle et l'expulsion – ordonnées après une condamnation à une lourde peine privative de liberté pour, notamment, infraction à la loi sur les étrangers (LEI) et infraction grave à la LStup –, n'ayant pas permis de dissuader le recourant de récidiver dans ces domaines, qui plus est en s'adonnant à des activités d'une plus grande gravité. Il ne peut ainsi qu'être constaté que le recourant a fait fi des décisions administratives et judiciaires prononcées à son encontre et qu'il n'a pas su tirer les leçons de ses précédentes condamnations, puisqu'il a récidivé durant le délai d'épreuve en commettant des infractions graves, qu'il savait pourtant parfaitement illicites. L'affirmation selon laquelle il n'aurait pas compris les conditions de sa première libération conditionnelle n'apparaît à cet égard pas crédible, le recourant ayant expressément expliqué, dans son PES, qu'il avait sciemment pris le risque de revenir en Suisse en 2022 pour y trouver du travail. Il n'avait déjà pas su mettre à profit le sursis octroyé le 16 mai 2017 par le Ministère public dans le cadre de l'infraction à la LEI, puisqu'il a persisté à revenir en Suisse trois fois de suite, ce qui dénote, là encore, le profond mépris qu'il porte aux autorités suisses et à leurs injonctions. Le recourant n'a par ailleurs fait preuve d'aucun amendement, ni d'une réelle prise de conscience quant à la gravité de ses actes. Alors qu'il se prévaut, à l'appui de son recours, d'avoir été condamné dans le cadre d'une procédure simplifiée – qui nécessite pourtant d'avoir reconnu les faits –, il a, de manière totalement contradictoire, persisté tout au long de sa détention à nier toute implication dans un trafic de stupéfiants, minimisant de la sorte la gravité de ses actes, ainsi que sa responsabilité. Les regrets et atermoiements qu'il s'évertue à formuler ne concernent que les conséquences personnelles que la détention a pour lui et sa famille, sans aucun égard pour les personnes qu'il a mises en danger par ses activités illicites. Le fait qu'il ait profité d'un soutien psychologique en détention ne démontre aucunement une quelconque prise de conscience de ses actes, contrairement à ce qu'il tente de faire croire, ce soutien ayant manifestement été commandé par le mal-être engendré par la détention et l'éloignement d'avec ses proches, à l'instar de ce que vivent bien d'autres détenus. Ce tableau rend le risque de réitération élevé pour des infractions, notamment à la LStup, qui ne sont pas à minimiser en termes de sécurité publique, étant encore une fois relevé que les deux dernières condamnations du recourant l'ont notamment été pour crime contre la LStup, avec mise en danger de la santé de nombreuses personnes. Le recourant a ainsi démontré une tendance certaine à la délinquance lorsque ses projets ne vont pas dans le sens souhaité, et une très faible sensibilité à la sanction. Sa situation personnelle demeure au surplus identique à celle l'ayant conduit à commettre les infractions pour lesquelles il purge actuellement sa peine, puisqu'il bénéficiait déjà d'une situation familiale stable – étant en couple avec sa compagne, mère de ses enfants – et de la nationalité albanaise, pays où il pouvait travailler. Le fait qu'il accepte de collaborer à son expulsion en Albanie, où il serait accompagné dans la création de son entreprise, ne suffisent pas à contrebalancer l'ensemble des éléments précités faisant concrètement craindre la réitération d'infractions, qui conduisent nécessairement à un pronostic défavorable. Les conditions d'une mise en liberté conditionnelle ne sont, dès lors, pas réalisées.</w:t>
      </w:r>
    </w:p>
    <w:p>
      <w:r>
        <w:rPr>
          <w:b/>
        </w:rPr>
        <w:t>E. 5</w:t>
      </w:r>
    </w:p>
    <w:p>
      <w:r>
        <w:t>Justifié, le jugement querellé sera donc confirmé et le recours rejeté.</w:t>
      </w:r>
    </w:p>
    <w:p>
      <w:r>
        <w:rPr>
          <w:b/>
        </w:rPr>
        <w:t>E. 6</w:t>
      </w:r>
    </w:p>
    <w:p>
      <w:r>
        <w:t>Le recourant, qui succombe, supportera les frais envers l'État, fixés en totalité à CHF 600.- (art. 428 al. 1 CPP et 13 al. 1 du Règlement fixant le tarif des frais en matière pénale, RTFMP ; E 4 10.03).</w:t>
      </w:r>
    </w:p>
    <w:p>
      <w:r>
        <w:rPr>
          <w:b/>
        </w:rPr>
        <w:t>E. 7</w:t>
      </w:r>
    </w:p>
    <w:p>
      <w:r>
        <w:t>Le conseil du recourant, nommé d'office par l'instance précédente, sera confirmé en cette qualité et indemnisé pour son activité devant l'autorité de recours. Faute pour l'avocat d'avoir chiffré ses prétentions, une indemnité ex aequo et bono de CHF 432.40 (TVA à 8.1% comprise) lui sera octroyée, à la charge de l'État, correspondant à deux heures d'activité au tarif de chef d'étude (art. 16 al. 1 let. c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