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PM/683/2015 vom 4. August 2015</w:t>
      </w:r>
    </w:p>
    <w:p>
      <w:r>
        <w:t>GE Cour de justice, 2015-08-04, FR</w:t>
      </w:r>
    </w:p>
    <w:p>
      <w:r>
        <w:rPr>
          <w:b/>
        </w:rPr>
        <w:t xml:space="preserve">Quelle: </w:t>
      </w:r>
      <w:r>
        <w:t>https://mcp.opencaselaw.ch/entscheid/ge_gerichte_PM_683_2015</w:t>
      </w:r>
    </w:p>
    <w:p>
      <w:r>
        <w:t>FR: GE_GERICHTE PM/683/2015 du 4 août 2015</w:t>
      </w:r>
    </w:p>
    <w:p>
      <w:r>
        <w:t>IT: GE_GERICHTE PM/683/2015 del 4 agosto 2015</w:t>
      </w:r>
    </w:p>
    <w:p>
      <w:pPr>
        <w:pStyle w:val="Heading2"/>
      </w:pPr>
      <w:r>
        <w:t>Regeste</w:t>
      </w:r>
    </w:p>
    <w:p>
      <w:r>
        <w:t>LIBÉRATION CONDITIONNELLE; MESURE D'ÉLOIGNEMENT(DROIT DES ÉTRANGERS) | CP.86</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w:t>
      </w:r>
    </w:p>
    <w:p>
      <w:r>
        <w:t>2.1.1.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 ration conditionnelle (M. A. NIGGLI / H. WIPRÄCHTIGER, Basler Kommentar, StrafrechtI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ibidem).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 2000 du 3 novembre 2000, consid. 2 ; 6A.34/2006 du 30 mai 2006, consid. 2.1 ; A. BAECHTOLD, Exécution des peines : l'exécution des peines et mesures con-cernant les adultes en Suisse , Berne 2008, p. 269, arrêts de la Chambre pénale d'appel et de révision AARP/309/2013 du 11 juin 2013, consid. 2.2.3 et AARP/14/2014 du 8 janvier 2014, consid. 2.2.3).</w:t>
      </w:r>
    </w:p>
    <w:p>
      <w:r>
        <w:rPr>
          <w:b/>
        </w:rPr>
        <w:t>E. 2.2</w:t>
      </w:r>
    </w:p>
    <w:p>
      <w:r>
        <w:t>En l’espèce, la condition objective prévue par l’art. 86 al. 1 CP est réalisée depuis le 16 juillet 2015. S'agissant de la condition subjective, le préavis positif de la direction de la prison de Champ-Dollon constitue un élément favorable qui ne saurait à lui seul conduire à l’octroi d’une libération conditionnelle. Ceux du SAPEM et du Ministère public sont négatifs. La CPAR relèvera que l'appelant a été condamné, pour les condamnations les plus récentes et figurant à son casier judiciaire, par trois fois entre janvier 2006 et novembre 2011, pour des infractions contre le patrimoine, à la LStup, à la LEtr, mais aussi lésions corporelles simples et violence ou menace contre les autorités et les fonctionnaires. Malgré ses condamnations, l'appelant a persisté, depuis 2003, à séjourner en toute illégalité en Suisse, sans source de revenu légal. Il est par ailleurs allé crescendo dans les infractions commises, n'hésitant pas à s'en prendre avec violence et à plusieurs à autrui pour parvenir à leurs fins lors du braquage de mai 2012, ce dans l'exécution d'un plan finement élaboré. S'y ajoute l'absence de tout projet de réinsertion concret, étayé et qu'il n'aurait déjà pu mettre à exécution par le passé. Sa sortie n'est ainsi pas du tout préparée, le projet de retrouver des cousins à F______ étant dénué de toute vraisemblance. Autant dire que l'appelant se retrouvera à sa sortie de prison dans les mêmes conditions qu'au moment de sa dernière interpellation, à séjourner illégalement en Suisse, moins probablement en D______, sans revenu régulier. S'ajoute encore à cela, comme relevé par la CED, l'absence de réelle introspection chez l'appelant corroboré par le fait qu'il n'a pas commencé à verser le premier franc pour indemniser les victimes du braquage de mai 2012, respectivement rembourser les frais de justice, bien que travaillant en prison depuis septembre 2013. C'est ainsi un pronostic clairement défavorable ou à tout le moins très incertain en cas de séjour en Suisse, respectivement en D______, après une libération anticipée, qui doit être posé le concernant, lequel pourrait toutefois être relativisé à la seule condition d'un retour effectif dans son pays d'origine, la C______, étant relevé que c'est le projet qu'il dit avoir à terme, pour y ouvrir un salon de thé. Dans ce but, avec l'aide des membres de sa famille y vivant, il lui est possible de recevoir un acte de naissance lui permettant d'obtenir le laissez-passer nécessaire en vue de son renvoi en C______. Par ailleurs, le solde de peine, soit la durée entre la date de sa libération et le 26 septembre 2016, doit détourner l'appelant A______ de commettre de nouvelles infractions. En conséquence, l'appel sera admis, le jugement entrepris annulé et la libération conditionnelle de l'appelant A______ ordonnée avec prise d'effet lorsque son départ vers son pays d'origine aura pu être organisé, l'appelant, au titre de règle de conduite, étant contraint de collaborer à son refoulement avec les autorités compétentes. En application de l'article 89 CP, il est informé que s'il devait commettre un crime ou un délit pendant le délai d'épreuve, d'une durée séparant la date de sa libération et le 26 septembre 2016, mais au minimum un an, le juge qui connaît de la nouvelle infraction pourra ordonner sa réintégration pour le solde de peine, nonobstant toute nouvelle peine ou mesure.</w:t>
      </w:r>
    </w:p>
    <w:p>
      <w:r>
        <w:rPr>
          <w:b/>
        </w:rPr>
        <w:t>E. 3</w:t>
      </w:r>
    </w:p>
    <w:p>
      <w:r>
        <w:t>Dans la mesure où l'appel est admis, les frais de la procédure seront laissés à charge de l'Etat (art. 428 CPP).</w:t>
      </w:r>
    </w:p>
    <w:p>
      <w:r>
        <w:rPr>
          <w:b/>
        </w:rPr>
        <w:t>E. 4</w:t>
      </w:r>
    </w:p>
    <w:p>
      <w:r>
        <w:t>4.1. Les frais imputables à la défense d’office et à l'assistance judiciaire gratuite sont des débours (art. 422 al. 2 let. a CPP) qui constituent des frais de procédure (art. 422 al. 1 CPP).</w:t>
      </w:r>
    </w:p>
    <w:p>
      <w:r>
        <w:rPr>
          <w:b/>
        </w:rPr>
        <w:t>E. 4.2</w:t>
      </w:r>
    </w:p>
    <w:p>
      <w:r>
        <w:t>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Au regard de ce qui précède, la CPAR est compétente, au sens de l'art. 135 al. 2 CPP, pour statuer sur l'activité postérieure à sa saisine, soit le 3 août 2015.</w:t>
      </w:r>
    </w:p>
    <w:p>
      <w:r>
        <w:rPr>
          <w:b/>
        </w:rPr>
        <w:t>E. 4.3</w:t>
      </w:r>
    </w:p>
    <w:p>
      <w:r>
        <w:t>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L'indemnité est calculée selon le tarif horaire de CHF 200.- pour un chef d'étude, débours de l'étude inclus, hors TVA (art. 16 al. 1 RAJ).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4.4</w:t>
      </w:r>
    </w:p>
    <w:p>
      <w:r>
        <w:t>Les postes de la note de frais et honoraires antérieurs à la saisine de la CPAR seront écartés, le défenseur d'office étant invité à présenter sa note au TAPEM. Pour le poste "rédaction d'appel", certes antérieur au 3 août 2015, il entre dans le forfait pour démarches diverses. Subsistent dès le 3 août 2015, 120 minutes de préparation d'audience à cette date et 65 minutes de "vacation audience à la Cour". Le poste de préparation d'audience est manifestement excessif, puisque dite préparation est intervenue deux semaines seulement après l'audience devant le TAPEM, avec les mêmes développements et arguments que ceux valant devant les juges de première instance. Il sera donc réduit à 60 minutes. L'activité exercée par Me B______ pour la défense des intérêts de l’appelant est pour le surplus en adéquation avec la nature, l'importance et la difficulté de la cause. En définitive, il sera retenu 125 minutes d’activité pour un chef d’étude au tarif horaire de CHF 200.-, correspondant à CHF 416.65, plus forfait de 20%, correspondant à CHF 83.35.-, et TVA de CHF 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