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PM/671/2014 vom 13. August 2014</w:t>
      </w:r>
    </w:p>
    <w:p>
      <w:r>
        <w:t>GE Cour de justice, 2014-08-13, FR</w:t>
      </w:r>
    </w:p>
    <w:p>
      <w:r>
        <w:rPr>
          <w:b/>
        </w:rPr>
        <w:t xml:space="preserve">Quelle: </w:t>
      </w:r>
      <w:r>
        <w:t>https://mcp.opencaselaw.ch/entscheid/ge_gerichte_PM_671_2014</w:t>
      </w:r>
    </w:p>
    <w:p>
      <w:r>
        <w:t>FR: GE_GERICHTE PM/671/2014 du 13 août 2014</w:t>
      </w:r>
    </w:p>
    <w:p>
      <w:r>
        <w:t>IT: GE_GERICHTE PM/671/2014 del 13 agosto 2014</w:t>
      </w:r>
    </w:p>
    <w:p>
      <w:pPr>
        <w:pStyle w:val="Heading2"/>
      </w:pPr>
      <w:r>
        <w:t>Regeste</w:t>
      </w:r>
    </w:p>
    <w:p>
      <w:r>
        <w:t>EXÉCUTION DES PEINES ET DES MESURES; LIBÉRATION CONDITIONNELLE | CP.86.1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______ 2014. La direction de la prison de Champ-Dollon a préavisé négativement la libération conditionnelle de l'appelant en raison principalement des deux sanctions disciplinaires dont il a fait l'objet. Sans minimiser les agissements à l'origine de ces sanctions, le mauvais comportement de l'intéressé en détention doit néanmoins être relativisé eu égard à la situation de surpopulation carcérale dans cet établissement, qui n'est pas prévu pour l'exécution des peines et dont les conditions de détention sont connues pour être difficiles. Par ailleurs, s'il n'est pas contestable que les infractions qu'il a commises sont d'une certaine gravité, en particulier s'agissant de celle de brigandage, elles ne le sont toutefois pas au point de considérer que l'intéressé présenterait un réel danger pour la collectivité au vu des décisions judiciaires figurant au dossier. Aucune mesure n'a d'ailleurs été ordonnée dans le cadre de celles-ci, ce qui tend aussi à démontrer qu'un risque notamment hétéro-agressif n'a pas été jugé important. Par ailleurs, on ne saurait perdre de vue le fait que l'appelant, après avoir fait l'objet d'une première condamnation à une peine pécuniaire assortie du sursis, se trouve pour la première fois incarcéré dans le cadre des trois peines qu'il purge actuellement, de sorte que l'on peut raisonnablement compter sur l'effet dissuasif de la peine subie à ce jour et de celle qu'il serait amené à accomplir en cas d'échec d'une éventuelle libération conditionnelle. S'il est vrai que les projets de réinsertion de l'appelant sont pour le moins flous, on ne saurait poser des exigences trop élevées en ce domaine, d'autant qu'en dépit de la durée de son incarcération, l'intéressé n'a pas pu bénéficier des aménagements liés au régime de l'exécution de peine, ni même d'un emploi au sein de l'établissement de détention. Au vu de ce qui précède, les conditions de l'art. 86 al. 1 CP apparaissent réalisées en ce sens que le pronostic d'avenir est certes très incertain mais n'apparaît pas concrètement défavorable, étant également rappelé que la libération conditionnelle est la règle. Ainsi, il convient d'accorder la libération conditionnelle à l'appelant, avec un effet légèrement différé afin de lui permettre de préparer au mieux sa sortie de prison. Il convient aussi d'attirer l'attention de l'appelant sur le fait que s'il devait, durant le délai d'épreuve, commettre un nouveau crime ou un délit, sa réincarcération pour le solde de sa peine pourra être ordonnée, nonobstant une nouvelle peine ou mesure (art. 89 al. 1 CP).</w:t>
      </w:r>
    </w:p>
    <w:p>
      <w:r>
        <w:rPr>
          <w:b/>
        </w:rPr>
        <w:t>E. 3</w:t>
      </w:r>
    </w:p>
    <w:p>
      <w:r>
        <w:t>Vu l'issue de l'appel, les frais de la procédure seront laissés à la charge de l'Etat (art. 428 CPP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