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PM/58/2020 vom 23. Januar 2020</w:t>
      </w:r>
    </w:p>
    <w:p>
      <w:r>
        <w:t>GE Cour de justice, 2020-01-23, FR</w:t>
      </w:r>
    </w:p>
    <w:p>
      <w:r>
        <w:rPr>
          <w:b/>
        </w:rPr>
        <w:t xml:space="preserve">Quelle: </w:t>
      </w:r>
      <w:r>
        <w:t>https://mcp.opencaselaw.ch/entscheid/ge_gerichte_PM_58_2020</w:t>
      </w:r>
    </w:p>
    <w:p>
      <w:r>
        <w:t>FR: GE_GERICHTE PM/58/2020 du 23 janvier 2020</w:t>
      </w:r>
    </w:p>
    <w:p>
      <w:r>
        <w:t>IT: GE_GERICHTE PM/58/2020 del 23 gennaio 2020</w:t>
      </w:r>
    </w:p>
    <w:p>
      <w:pPr>
        <w:pStyle w:val="Heading2"/>
      </w:pPr>
      <w:r>
        <w:t>Regeste</w:t>
      </w:r>
    </w:p>
    <w:p>
      <w:r>
        <w:t>LIBÉRATION CONDITIONNELLE | CP.86</w:t>
      </w:r>
    </w:p>
    <w:p>
      <w:pPr>
        <w:pStyle w:val="Heading2"/>
      </w:pPr>
      <w:r>
        <w:t>Erwägungen</w:t>
      </w:r>
    </w:p>
    <w:p>
      <w:r>
        <w:rPr>
          <w:b/>
        </w:rPr>
        <w:t>E. 1.1</w:t>
      </w:r>
    </w:p>
    <w:p>
      <w:r>
        <w:t>La décision rendue en matière de libération conditionnelle (art. 86 CP) constitue une " autre décision ultérieure " indépendante au sens de l'art. 363 al. 3 CPP (arrêts du Tribunal fédéral 6B_1136/2015 du 18 juillet 2016 consid. 4.3 et 6B_158/2013 du 25 avril 2013 consid. 2.1; A. KUHN / Y. JEANNERET (éds), Commentaire romand : Code de procédure pénale suisse , Bâle 2011, n. 12 ad art. 363). Depuis le 1 er janvier 2017,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Le recours contre la décision querellée a été déposé selon la forme et dans le délai (art. 385 et 396 al. 1 CPP) et émane du condamné, qui a un intérêt à l'annulation de la décision entreprise (art. 104 al. 1 let. a, 111 et 382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conteste le refus de sa demande de libération conditionnelle.</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 Bâle 2007, n. 5 ad art. 1576; S. TRECHSEL, Schweizerisches Strafgesetzbuch : Praxiskommentar ,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 Zurich, 2008, n. 8-9 ad art. 86).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w:t>
      </w:r>
    </w:p>
    <w:p>
      <w:r>
        <w:rPr>
          <w:b/>
        </w:rPr>
        <w:t>E. 3.2</w:t>
      </w:r>
    </w:p>
    <w:p>
      <w:r>
        <w:t>En l'espèce, la condition objective d'une libération conditionnelle est, certes, réalisée depuis le 31 janvier 2020. Le recourant ne bénéficie cependant pas de préavis positifs, hormis celui de la prison C______. Il a déjà été condamné à dix reprises, et la nature des infractions commises en Suisse ne s'explique nullement par une volonté d'y passer du temps avec son fils. Ce tableau rend le risque de réitération important. Il l'est d'autant plus que les projets d'avenir du recourant sont inconsistants. Le recourant n'a fourni aucune précision fiable et concrète sur ses possibilités de travailler et loger à D______. Ce n'était pas à l'autorité pénale de contacter un beau-frère dont il ne donne pas les coordonnées, mais au recourant de fournir tout détail utile sur les perspectives professionnelles ainsi offertes. Or, son acte de recours n'en comporte aucun. Dans ces circonstances, la tentation de subvenir à ses besoins par la commission de nouvelles infractions contre le patrimoine est réelle. D'une appréciation d'ensemble, il résulte que le risque de récidive est suffisamment élevé pour faire échec à la demande de libération. Le premier juge l'a parfaitement apprécié.</w:t>
      </w:r>
    </w:p>
    <w:p>
      <w:r>
        <w:rPr>
          <w:b/>
        </w:rPr>
        <w:t>E. 4</w:t>
      </w:r>
    </w:p>
    <w:p>
      <w:r>
        <w:t>Justifié, le jugement querellé sera donc confirmé.</w:t>
      </w:r>
    </w:p>
    <w:p>
      <w:r>
        <w:rPr>
          <w:b/>
        </w:rPr>
        <w:t>E. 5</w:t>
      </w:r>
    </w:p>
    <w:p>
      <w:r>
        <w:t>Le recourant, qui succombe, supportera les frais envers l'État, qui comprendront un émolument de CHF 500.-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