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PM/557/2014 vom 1. September 2014</w:t>
      </w:r>
    </w:p>
    <w:p>
      <w:r>
        <w:t>GE Cour de justice, 2014-09-01, FR</w:t>
      </w:r>
    </w:p>
    <w:p>
      <w:r>
        <w:rPr>
          <w:b/>
        </w:rPr>
        <w:t xml:space="preserve">Quelle: </w:t>
      </w:r>
      <w:r>
        <w:t>https://mcp.opencaselaw.ch/entscheid/ge_gerichte_PM_557_2014</w:t>
      </w:r>
    </w:p>
    <w:p>
      <w:r>
        <w:t>FR: GE_GERICHTE PM/557/2014 du 1 septembre 2014</w:t>
      </w:r>
    </w:p>
    <w:p>
      <w:r>
        <w:t>IT: GE_GERICHTE PM/557/2014 del 1 settembre 2014</w:t>
      </w:r>
    </w:p>
    <w:p>
      <w:pPr>
        <w:pStyle w:val="Heading2"/>
      </w:pPr>
      <w:r>
        <w:t>Regeste</w:t>
      </w:r>
    </w:p>
    <w:p>
      <w:r>
        <w:t>LIBÉRATION CONDITIONNELLE | CP.86</w:t>
      </w:r>
    </w:p>
    <w:p>
      <w:pPr>
        <w:pStyle w:val="Heading2"/>
      </w:pPr>
      <w:r>
        <w:t>Erwägungen</w:t>
      </w:r>
    </w:p>
    <w:p>
      <w:r>
        <w:rPr>
          <w:b/>
        </w:rPr>
        <w:t>E. 1.1</w:t>
      </w:r>
    </w:p>
    <w:p>
      <w:r>
        <w:t>Selon l'arrêt du Tribunal fédéral 6B_158/2013 du 25 avril 2013, consid. 2.1, la procédure de libération conditionnelle n'est pas directement régie par le Code de procédure pénale du 5 octobre 2007 (CPP ; RS 312.0), lequel ne pourrait tout au plus s’appliquer qu’au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les dispositions du CPP relatives à la procédure d’appel.</w:t>
      </w:r>
    </w:p>
    <w:p>
      <w:r>
        <w:rPr>
          <w:b/>
        </w:rPr>
        <w:t>E. 1.2</w:t>
      </w:r>
    </w:p>
    <w:p>
      <w:r>
        <w:t>Interjeté et motivé dans la forme et les délais prescrits (cf. art. 398 et 399 CPP), l'appel du Ministère public est recevable.</w:t>
      </w:r>
    </w:p>
    <w:p>
      <w:r>
        <w:rPr>
          <w:b/>
        </w:rPr>
        <w:t>E. 2</w:t>
      </w:r>
    </w:p>
    <w:p>
      <w:r>
        <w:t>En l’espèce, la condition objective prévue par l’art. 86 al. 1 CP est réalisée depuis le 28 avril 2013. A l’instar des premiers juges, il convient d’admettre que le pronostic est pour le moins incertain et que l’on se trouve dans un cas limite, nonobstant le bon comportement de l’appelant en prison. Ses antécédents sont mauvais et il s’est mal comporté durant l’exécution du traitement institutionnel ordonné par la Cour correctionnelle. Ce constat doit toutefois être tempéré par le fait que l’appelant, qui s’est retrouvé en liberté pendant plusieurs mois en 2013, après avoir fugué du foyer André, n’a commis aucune infraction durant cette période et n’est revenu à Genève que pour se faire soigner de sa séropositivité. Il est par ailleurs aisé de s’écarter du préavis de la CED, qui contient des inexactitudes assez incompréhensibles. On relèvera à cet égard que l’appelant semble avoir pris conscience de sa polytoxicomanie, pour laquelle il est suivi en prison, dans la mesure où il a pris des contacts avec des associations en ______ afin de pouvoir poursuivre son traitement après sa libération. Aussi, l’appelant n’a jamais bénéficié d’une libération conditionnelle par le passé, alors que son octroi constitue la règle selon la jurisprudence. Il ne faut pas non plus oublier qu’il pourra bénéficier du soutien de sa compagne à sa sortie de prison, avec laquelle il a ______, et qui pourra l’héberger. Compte tenu de son état de santé, on ne saurait par ailleurs se montrer trop strict s’agissant de ses projets de réinsertion. Enfin, une libération anticipée assortie de mesures d'accompagnement fait apparaître le risque de récidive comme moins élevé qu'une sortie de prison en fin de peine, laquelle ne serait assortie d’aucune mesure d’encadrement. Pour tous ces motifs, la Cour considère que c’est à juste titre que les premiers juges ont ordonné la libération conditionnelle de l’appelant. Quant à l’assistance de probation et aux règles de conduite ordonnées, l’appelant ne les conteste pas de sorte que ces mesures seront confirmées. Il sera toutefois observé, pour répondre aux craintes exprimées par le SPI, que le dispositif du jugement entrepris n’a pas enjoint à ce service de se charger d’organiser le retour de l’appelant en ______ et qu’il appartient à ce dernier de fournir au SPI les attestations de suivi conformément aux règles de conduite ordonnées.</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(NIGGLI / WIPRÄCHTIGER, Basler Kommentar, Strafrecht I,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V. MAIRE in : A. KUHN / L. MOREILLON / B. VIREDAZ / A. BISCHOFSKY, La nouvelle partie générale du Code pénal suisse , Berne, 2006, p. 361, S. TRECHSEL, op. cit., Zurich, 2008, n. 8-9 ad. art. 86). Il convient par ailleurs d'examiner si le danger que représente le détenu au moment de sa libération augmenterait, diminuerait ou resterait inchangé en cas d'exécution complète de la peine (V. MAIRE in : A. KUHN / L. MOREILLON / B. VIREDAZ / A. BISCHOFSKY, op. cit.,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w:t>
      </w:r>
    </w:p>
    <w:p>
      <w:r>
        <w:rPr>
          <w:b/>
        </w:rPr>
        <w:t>E. 3</w:t>
      </w:r>
    </w:p>
    <w:p>
      <w:r>
        <w:t>Compte tenu de la qualité de l’appelant, qui succombe, les frais de la procédure d’appel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