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PM/537/2015 vom 14. Juli 2015</w:t>
      </w:r>
    </w:p>
    <w:p>
      <w:r>
        <w:t>GE Cour de justice, 2015-07-14, FR</w:t>
      </w:r>
    </w:p>
    <w:p>
      <w:r>
        <w:rPr>
          <w:b/>
        </w:rPr>
        <w:t xml:space="preserve">Quelle: </w:t>
      </w:r>
      <w:r>
        <w:t>https://mcp.opencaselaw.ch/entscheid/ge_gerichte_PM_537_2015</w:t>
      </w:r>
    </w:p>
    <w:p>
      <w:r>
        <w:t>FR: GE_GERICHTE PM/537/2015 du 14 juillet 2015</w:t>
      </w:r>
    </w:p>
    <w:p>
      <w:r>
        <w:t>IT: GE_GERICHTE PM/537/2015 del 14 luglio 2015</w:t>
      </w:r>
    </w:p>
    <w:p>
      <w:pPr>
        <w:pStyle w:val="Heading2"/>
      </w:pPr>
      <w:r>
        <w:t>Regeste</w:t>
      </w:r>
    </w:p>
    <w:p>
      <w:r>
        <w:t>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 203 ; arrêts du Tribunal fédéral 6B_757/2014 du 17 décembre 2014 consid. 2.2 et 6B_259/2014 du 5 juin 2014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 voir dans ce sens ATF 125 IV 113 consid. 2a p. 115) et, surtout, le degré de son éventuel amendement ainsi que les conditions dans lesquelles il est à prévoir qu'il vivra (ATF 133 IV 201 et arrêts du Tribunal fédéral 6B_757/2014 et 6B_259/2014 précités).</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La nouvelle partie générale du Code pénal suisse , Berne, 2006, p. 361).</w:t>
      </w:r>
    </w:p>
    <w:p>
      <w:r>
        <w:rPr>
          <w:b/>
        </w:rPr>
        <w:t>E. 3</w:t>
      </w:r>
    </w:p>
    <w:p>
      <w:r>
        <w:t>En l’espèce, la condition objective prévue par l’art. 86 al. 1 CP est réalisée depuis le 7 juin 2015. La direction de la prison de Champ-Dollon a préavisé favorablement la libération conditionnelle de l'appelant en raison de son bon comportement en détention, tandis que le SAPEM et le Ministère public ont émis des préavis négatifs, compte tenu de ses divers antécédents et du fait qu'il a déjà obtenu deux libérations conditionnelles. Pour la CPAR, s’il n'est pas contestable que l’appelant a de nombreux antécédents judiciaires, force est cependant de constater que les infractions qu'il a commises ne sont pas d’une gravité significative, au point de considérer que l'intéressé présenterait un réel danger pour la collectivité en cas de libération anticipée, s’agissant de vols sans recours à la violence et d’infractions à la législation sur les étrangers. En toute hypothèse, le danger que représente l'appelant n'apparaît pas plus important en cas de libération anticipée que s'il devait intégralement exécuter sa peine de prison, dont l'issue est prévue pour la fin du mois d’octobre. Par ailleurs, on ne saurait perdre de vue le fait que l'appelant, après avoir exécuté deux périodes de détention en 2008 et en 2009, relativement courtes, se trouve pour la première fois incarcéré pour une longue durée, soit depuis environ 11 mois, de sorte que l'on peut raisonnablement compter sur l'effet dissuasif de la peine subie à ce jour et de celle qu'il serait amené à accomplir en cas d'échec d'une éventuelle libération conditionnelle. En outre, c’est la première fois que l’appelant fait l’expérience de la prison en tant que père de famille (sa compagne venait juste d’accoucher lors de l’octroi de sa dernière libération conditionnelle en mai 2009), notamment à l’occasion des visites au parloir de sa fille aînée, cette épreuve étant susceptible de le dissuader de récidiver. Enfin, l’appelant affirme avoir finalement obtenu les documents nécessaires à régulariser sa situation administrative en C______, ce qui représente un élément favorable supplémentaire. Dans ces conditions, le pronostic, même s’il demeure incertain, n’est pas complètement défavorable. Ainsi, il convient de lui accorder la libération conditionnelle avec effet immédiat. Il sied toutefois d'attirer l'attention de l'appelant sur le fait que s'il devait, durant le délai d'épreuve, commettre un nouveau crime ou un délit, sa réincarcération pour le solde de sa peine pourra être ordonnée, nonobstant une nouvelle peine ou mesure (art. 89 al. 1 et 3 CP).</w:t>
      </w:r>
    </w:p>
    <w:p>
      <w:r>
        <w:rPr>
          <w:b/>
        </w:rPr>
        <w:t>E. 4</w:t>
      </w:r>
    </w:p>
    <w:p>
      <w:r>
        <w:t>L'appel ayant été admis, les frais de la procédure d’appel seront laissés à la charge de l’Etat. L’appelant, qui a interjeté appel en personne mais a comparu aux débats d’appel assisté d’un avocat de choix, dont il n’a pas requis, à juste titre, la désignation en tant que défenseur d’office, n’a pas droit à une indemnité au sens de l’art. 429 al. 1 let. a CPP. En effet, l’assistance d’un avocat n’était en l’occurrence pas justifiée par la complexité de l’affaire tant en fait qu’en droit. L’appelant a d’ailleurs lui-même fourni, lors de son audition, les informations utiles à l’appréciation de son cas.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