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PM/524/2015 vom 30. Juni 2015</w:t>
      </w:r>
    </w:p>
    <w:p>
      <w:r>
        <w:t>GE Cour de justice, 2015-06-30, FR</w:t>
      </w:r>
    </w:p>
    <w:p>
      <w:r>
        <w:rPr>
          <w:b/>
        </w:rPr>
        <w:t xml:space="preserve">Quelle: </w:t>
      </w:r>
      <w:r>
        <w:t>https://mcp.opencaselaw.ch/entscheid/ge_gerichte_PM_524_2015</w:t>
      </w:r>
    </w:p>
    <w:p>
      <w:r>
        <w:t>FR: GE_GERICHTE PM/524/2015 du 30 juin 2015</w:t>
      </w:r>
    </w:p>
    <w:p>
      <w:r>
        <w:t>IT: GE_GERICHTE PM/524/2015 del 30 giugno 2015</w:t>
      </w:r>
    </w:p>
    <w:p>
      <w:pPr>
        <w:pStyle w:val="Heading2"/>
      </w:pPr>
      <w:r>
        <w:t>Regeste</w:t>
      </w:r>
    </w:p>
    <w:p>
      <w:r>
        <w:t>LIBÉRATION CONDITIONNELLE | CP.86.1</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rPr>
          <w:b/>
        </w:rPr>
        <w:t>E. 2</w:t>
      </w:r>
    </w:p>
    <w:p>
      <w:r>
        <w:t>2.1. 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NIGGLI/H. WIPRÄCHTIGER, Basler Kommentar, Strafrecht I ,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L. MOREILLON/B. VIREDAZ/ A. BISCHOFSKY, La nouvelle partie générale du Code pénal suisse ,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2.3</w:t>
      </w:r>
    </w:p>
    <w:p>
      <w:r>
        <w:t>La condition objective de l’octroi de la libération conditionnelle est réalisée depuis le 27 mai 2015. La condition subjective ne l'est cependant pas. Les préavis négatifs de la direction de la prison et du SAPEM constituent des éléments défavorables, auxquels d'autres s'ajoutent. En effet, les antécédents sont mauvais et spécifiques, l'appelant ayant été condamné à quatre reprises depuis août 2013, pour des délits contre le patrimoine, la sphère privée, la santé et l'ordre publics. Il a bénéficié récemment d'une libération conditionnelle, mais n'en a pas tiré les conclusions qui s'imposaient, récidivant seulement un mois et demi après et de manière répétée, de sorte que son casier judiciaire ne comporte pas moins de sept condamnations. Les propos de l'appelant, notamment l'assertion selon laquelle il entend quitter définitivement la Suisse pour se rendre au Maroc, sont dénués de toute crédibilité. Il a varié dans ses explications concernant ses documents d'identité, qu'il avait tantôt perdus lors d'un séjour en Espagne, tantôt laissés en mains d'une prétendue tante au sujet de laquelle il est incapable de fournir le moindre renseignement, si ce n'est qu'elle habiterait à Bruxelles. Il n'a pas apporté plus d'indications quant à son retour, notamment son point de chute au Maroc, expliquant uniquement qu'il s'y rendrait en passant par Bruxelles, périple paraissant peu logique et difficile. A cela s'ajoute le récit de son entrée en Suisse et les impossibilités qu'il allègue avoir rencontrées pour sa sortie, lesquelles sont manifestement fausses. Aucun élément n'atteste d'une réelle intention de quitter la Suisse et d'une prise de conscience, le repentir qu'il a ponctuellement allégué n'emportant pas conviction. Le risque de réitération, qui n'est pas limité au non-respect des normes sur le séjour des étrangers, vu également la situation précaire dans laquelle se retrouvera l'appelant à sa sortie, est donc concret, de sorte que c'est à juste titre que le premier juge a refusé l'octroi d'une nouvelle libération conditionnelle.</w:t>
      </w:r>
    </w:p>
    <w:p>
      <w:r>
        <w:rPr>
          <w:b/>
        </w:rPr>
        <w:t>E. 3</w:t>
      </w:r>
    </w:p>
    <w:p>
      <w:r>
        <w:t>L'appelant, qui succombe, sera condamné aux frais de la procédure d'appel, qui comprennent un émolument de jugement de CHF 300.- (art. 428 al. 1 CPP par analogie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