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PM/508/2014 vom 15. Juli 2014</w:t>
      </w:r>
    </w:p>
    <w:p>
      <w:r>
        <w:t>GE Cour de justice, 2014-07-15, FR</w:t>
      </w:r>
    </w:p>
    <w:p>
      <w:r>
        <w:rPr>
          <w:b/>
        </w:rPr>
        <w:t xml:space="preserve">Quelle: </w:t>
      </w:r>
      <w:r>
        <w:t>https://mcp.opencaselaw.ch/entscheid/ge_gerichte_PM_508_2014</w:t>
      </w:r>
    </w:p>
    <w:p>
      <w:r>
        <w:t>FR: GE_GERICHTE PM/508/2014 du 15 juillet 2014</w:t>
      </w:r>
    </w:p>
    <w:p>
      <w:r>
        <w:t>IT: GE_GERICHTE PM/508/2014 del 15 luglio 2014</w:t>
      </w:r>
    </w:p>
    <w:p>
      <w:pPr>
        <w:pStyle w:val="Heading2"/>
      </w:pPr>
      <w:r>
        <w:t>Regeste</w:t>
      </w:r>
    </w:p>
    <w:p>
      <w:r>
        <w:t>EXÉCUTION DES PEINES ET DES MESURES; LIBÉRATION CONDITIONNELLE | CP.86</w:t>
      </w:r>
    </w:p>
    <w:p>
      <w:pPr>
        <w:pStyle w:val="Heading2"/>
      </w:pPr>
      <w:r>
        <w:t>Erwägungen</w:t>
      </w:r>
    </w:p>
    <w:p>
      <w:r>
        <w:rPr>
          <w:b/>
        </w:rPr>
        <w:t>E. 1</w:t>
      </w:r>
    </w:p>
    <w:p>
      <w:r>
        <w:t>1.1. Selon l'arrêt du Tribunal fédéral 6B_158/2013 du 25 avril 2013, consid. 2.1, la procédure de libération conditionnelle n'est pas directement régie par le Code de procédure pénale du 5 octobre 2007 (CPP ; RS 312.0), lequel ne pourrait tout au plus s’appliquer qu’au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(NIGGLI / WIPRÄCHTIGER, Basler Kommentar, Strafrecht 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S. TRECHSEL, op.cit., n. 8-9 ad art. 86). Il convient par ailleurs d’examiner si le danger que représente le détenu au moment de sa libération augmenterait, diminuerait ou resterait inchangé en cas d’exécution complète de la peine (A. KUHN / L. MOREILLON / B. VIREDAZ / A. BISCHOFSKY, op. cit., ibidem).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V. MAIRE in : A. KUHN / L. MOREILLON / B. VIREDAZ / A. BISCHOFSKY, La nouvelle partie générale du Code pénal suisse , Berne, 2006, p. 361, S. TRECHSEL, op. cit ., Zurich, 2008,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w:t>
      </w:r>
    </w:p>
    <w:p>
      <w:r>
        <w:rPr>
          <w:b/>
        </w:rPr>
        <w:t>E. 2.2</w:t>
      </w:r>
    </w:p>
    <w:p>
      <w:r>
        <w:t>En l’espèce, il n’est pas contesté que l’appelant a exécuté les deux tiers de ses peines, réalisant ainsi la condition objective prévue par l’art. 86 al. 1 CP depuis le 27 mai 2014. Le préavis positif de la prison de Champ Dollon doit être nuancé, dans la mesure où, lors de son séjour dans l’établissement de Bellevue, l’appelant a fait l’objet d’une sanction disciplinaire pour avoir insulté un médecin et un collaborateur de l’établissement. Détenu depuis plus de deux ans, l’appelant est resté abstinent à l'alcool, a travaillé en détention et suivi avec assiduité le traitement ambulatoire ordonné par le Tribunal correctionnel. Il investit la thérapie avec succès et apprend à réagir différemment lorsqu’il est confronté à l’agressivité d’autrui. Il reconnait les faits qu’il a commis et semble avoir pris conscience de la gravité de ses actes. La Cour constate ainsi que le traitement débuté en prison semble produire des effets positifs et que l’appelant consent des efforts sincères pour apprendre à maitriser son potentiel de violence. Toutefois, cette évolution favorable dans le cadre structuré de la prison n’est pas suffisante et le risque de voir l’appelant récidiver, une fois en liberté, est aujourd’hui encore concrètement élevé, compte tenu de ses antécédents judiciaires, pour des actes graves de violence, de l’échec, relativement récent, de sa dernière libération conditionnelle et d’une situation personnelle délicate, notamment sur le plan administratif, étant rappelé que sa demande d’asile a été définitivement rejetée. C’est d’ailleurs de nouveau sous l’emprise de l’alcool que l’appelant a récidivé le ______ 2012. En outre, l’appelant n’a pas encore pris part à toutes les étapes du régime progressif qui précèdent la libération conditionnelle et qui doivent lui permettre de se responsabiliser et de prendre une part aussi active que possible au processus l'amenant à son élargissement. Il n’a notamment pas pu bénéficier du passage dans une unité de sociothérapie, pourtant préconisé par le SAPEM. En d'autres termes, une libération conditionnelle apparait aujourd’hui prématurée. Il appartient au SAPEM de tout mettre en œuvre, sans tarder, pour préparer la sortie de l’appelant qui n’a pas à subir les conséquences négatives d’un drame auquel il est étranger. Dans l’hypothèse où la perspective d’une ouverture prochaine de l’unité de sociothérapie de CURABILIS serait trop incertaine, le SAPEM est invité à trouver d’autres solutions plus concrètes, dans le respect des règles imposées par l’art. 75 CP. En l’état, et à l'instar des premiers juges, la Chambre de céans retient que les conditions d'une libération conditionnelle ne sont pas réalisées. L'appel sera par conséquent rejeté.</w:t>
      </w:r>
    </w:p>
    <w:p>
      <w:r>
        <w:rPr>
          <w:b/>
        </w:rPr>
        <w:t>E. 3</w:t>
      </w:r>
    </w:p>
    <w:p>
      <w:r>
        <w:t>L'appelant,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