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PM/487/2016 vom 14. Juni 2016</w:t>
      </w:r>
    </w:p>
    <w:p>
      <w:r>
        <w:t>GE Cour de justice, 2016-06-14, FR</w:t>
      </w:r>
    </w:p>
    <w:p>
      <w:r>
        <w:rPr>
          <w:b/>
        </w:rPr>
        <w:t xml:space="preserve">Quelle: </w:t>
      </w:r>
      <w:r>
        <w:t>https://mcp.opencaselaw.ch/entscheid/ge_gerichte_PM_487_2016</w:t>
      </w:r>
    </w:p>
    <w:p>
      <w:r>
        <w:t>FR: GE_GERICHTE PM/487/2016 du 14 juin 2016</w:t>
      </w:r>
    </w:p>
    <w:p>
      <w:r>
        <w:t>IT: GE_GERICHTE PM/487/2016 del 14 giugno 2016</w:t>
      </w:r>
    </w:p>
    <w:p>
      <w:pPr>
        <w:pStyle w:val="Heading2"/>
      </w:pPr>
      <w:r>
        <w:t>Regeste</w:t>
      </w:r>
    </w:p>
    <w:p>
      <w:r>
        <w:t>EXÉCUTION DES PEINES ET DES MESURES ; LIBÉRATION CONDITIONNELLE ; PRONOSTIC ; RENVOI(DROIT DES ÉTRANGERS) | CP.86.1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de 20 jours prescrit par l'art. 399 al. 3 CPP applicable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 2012 consid. 1.1). Doivent notamment être pris en considération les antécédents judiciaires, les caractéristiques de la personnalité de l’intéressé, son comportement par rapport à son acte et en détention, au travail ou en semi-liberté, les conditions futures dans lesquelles il est à prévoir qu’il vivra, en particulier sa famille, son travail, son logement, ainsi que le genre de risque que fait courir une libération conditionnelle à autrui (ATF 124 IV 193 consid. 3 et 4d p. 194 et 198 ; A. KUHN / L. MOREILLON / B. VIREDAZ / A. BISCHOFSKY, La nouvelle partie générale du Code pénal suisse , Berne, 2006, p. 361 ; S. TRECHSEL, Schweizerisches Strafgesetzbuch : Praxiskommentar , Zurich 2008,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Selon la jurisprudence, l'absence d'aveux ne permet pas de conclure à un pronostic défavorable, car " il n'existe aucune obligation de reconnaître les infractions commises, même après une condamnation et le fait de contester les actes commis peut avoir de nombreux motifs ne jouant aucun rôle dans le processus d'émission du pronostic. La reconnaissance de la faute n'est pas une condition indispensable pour une existence future sans infractions " (ATF 124 IV 193 = JdT 2000 IV 162 consid. 5ec p. 172 et la référence citée). Il convient par ailleurs d'examiner si le danger que représente le détenu au moment de sa libération augmenterait, diminuerait ou resterait inchangé en cas d'exécution complète de la peine (A. KUHN/L. MOREILLON/B. VIREDAZ/A. BISCHOFSKY, op. cit. , p. 361).</w:t>
      </w:r>
    </w:p>
    <w:p>
      <w:r>
        <w:rPr>
          <w:b/>
        </w:rPr>
        <w:t>E. 2.2</w:t>
      </w:r>
    </w:p>
    <w:p>
      <w:r>
        <w:t>En l’espèce, la condition objective prévue par l’art. 86 al. 1 CP est réalisée depuis le 23 mai 2016. Le fait que la direction de la prison de Champ-Dollon a préavisé positivement la demande de l’appelant constitue un élément favorable qui ne saurait, à lui seul, conduire à l’octroi d’une libération conditionnelle. S'il est vrai que le viol pour lequel l'appelant a été condamné est une infraction incontestablement grave, il résulte de la décision judiciaire figurant au dossier qu'il a été commis dans des circonstances assez particulières, notamment dans la mesure où les deux protagonistes avaient envisagé à un moment donné d'entretenir une relation sexuelle tarifée. Comme l'a relevé son conseil, l'appelant n'avait même pas 20 ans à l'époque et se sent peut-être trop honteux pour admettre avoir commis cette infraction qui, à elle seule, paraît insuffisante pour considérer qu'il présenterait un réel danger pour la collectivité, d'autant qu'aucune mesure n'a été ordonnée dans le cadre de cette affaire, ni même envisagée, ce qui tend aussi à démontrer qu'un risque hétéro-agressif n'a pas été jugé important. Par ailleurs, on ne saurait perdre de vue le fait que l'appelant, après avoir fait l'objet d'une première condamnation à une peine pécuniaire assortie du sursis pour séjour illégal, se trouve pour la première fois incarcéré dans le cadre des deux peines qu'il purge actuellement, dont l'une a été prononcée exclusivement pour le même délit et dont l'autre est d'une durée significative. On ne saurait ainsi lui reprocher d'avoir déjà trahi la confiance accordée par les autorités et on peut au contraire raisonnablement compter sur l'effet dissuasif de la peine subie à ce jour et de celle qu'il serait amené à accomplir en cas d'échec d'une éventuelle libération conditionnelle. Le projet de réinsertion de l'appelant n'est certes pas documenté, ni même réaliste, tant ses chances de se rendre en Angleterre et surtout d'y résider légalement paraissent faibles. L'appelant apparaît néanmoins conscient du fait qu'il n'a pas d'avenir en Suisse et n'exclut nullement un retour dans son pays d'origine, étant rappelé qu'il peut obtenir de l'aide à cet effet. Au demeurant, la CPAR a déjà eu l'occasion de considérer que le défaut de papiers d'identité ne constituait pas un critère suffisant pour justifier le refus d'une libération conditionnelle (par exemple AARP/169/2014 du 7 avril 2014, consid. 2.3). Le pronostic futur serait sans doute plus favorable si l'appelant retournait en Guinée, mais force est de constater, au vu des informations obtenues de l'OCPM, que même s'il y coopérait pleinement, un renvoi n'apparaît guère exécutable actuellement, en tout cas dans un délai raisonnable. Au vu de ce qui précède, les conditions de l'art. 86 al. 1 CP apparaissent réalisées en ce sens que le pronostic d'avenir est certes incertain mais n'apparaît pas concrètement défavorable, étant également rappelé que la libération conditionnelle est la règle. Ainsi, il convient d'accorder la libération conditionnelle à l'appelant avec effet immédiat et un délai d'épreuve équivalant au solde de la peine (art. 87 al. 1 CP). Il n'y a pas lieu d'ordonner une assistance de probation au vu de son statut administratif. Il convient cependant d'attirer l'attention de l'appelant sur le fait que s'il devait, durant le délai d'épreuve, commettre un nouveau crime ou un délit, sa réincarcération pour le solde de sa peine pourra être ordonnée, nonobstant une nouvelle peine ou mesure (art. 89 al. 1 CP). L'appel doit par conséquent être admis.</w:t>
      </w:r>
    </w:p>
    <w:p>
      <w:r>
        <w:rPr>
          <w:b/>
        </w:rPr>
        <w:t>E. 3</w:t>
      </w:r>
    </w:p>
    <w:p>
      <w:r>
        <w:t>Vu l'issue de l'appel, il ne sera pas perçu de frais (art. 428 CPP a contrario et par analogie).</w:t>
      </w:r>
    </w:p>
    <w:p>
      <w:r>
        <w:rPr>
          <w:b/>
        </w:rPr>
        <w:t>E. 4</w:t>
      </w:r>
    </w:p>
    <w:p>
      <w:r>
        <w:t>4.1. Selon l'art. 16 al. 1 du règlement sur l'assistance juridique et l'indemnisation des conseils juridiques et défenseurs d'office en matière civile, administrative et pénale du 28 juillet 2010 (RAJ ; E 2 05.04),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Le temps de déplacement de l'avocat est considéré comme nécessaire pour la défense d'office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la rémunération forfaitaire de la vacation aller/retour (soit 30 minutes au total) au et du Palais de justice ou au et du bâtiment du Ministère public est donc arrêtée à CHF 50.- pour les chefs d'étude.</w:t>
      </w:r>
    </w:p>
    <w:p>
      <w:r>
        <w:rPr>
          <w:b/>
        </w:rPr>
        <w:t>E. 4.2</w:t>
      </w:r>
    </w:p>
    <w:p>
      <w:r>
        <w:t>En l'espèce, l'état de frais produit par le défenseur d'office de l'appelant est adéquat et conforme aux principes applicables en la matière. Ainsi, l'indemnité sera arrêtée à CHF 972.- correspondant à 3 heures et 30 minutes d'activité, compte tenu de la durée effective de l'audience d'appel (1h), au tarif de CHF 200.-/heure (CHF 700.-), plus les vacations (CHF 50.-), majoration forfaitaire de 20% (CHF 150.-) et l'équivalent de la TVA au taux de 8% en CHF 72.- en sus.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