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PM/445/2022 vom 11. Mai 2022</w:t>
      </w:r>
    </w:p>
    <w:p>
      <w:r>
        <w:t>GE Cour de justice, 2022-05-11, FR</w:t>
      </w:r>
    </w:p>
    <w:p>
      <w:r>
        <w:rPr>
          <w:b/>
        </w:rPr>
        <w:t xml:space="preserve">Quelle: </w:t>
      </w:r>
      <w:r>
        <w:t>https://mcp.opencaselaw.ch/entscheid/ge_gerichte_PM_445_2022</w:t>
      </w:r>
    </w:p>
    <w:p>
      <w:r>
        <w:t>FR: GE_GERICHTE PM/445/2022 du 11 mai 2022</w:t>
      </w:r>
    </w:p>
    <w:p>
      <w:r>
        <w:t>IT: GE_GERICHTE PM/445/2022 del 11 maggio 2022</w:t>
      </w:r>
    </w:p>
    <w:p>
      <w:pPr>
        <w:pStyle w:val="Heading2"/>
      </w:pPr>
      <w:r>
        <w:t>Regeste</w:t>
      </w:r>
    </w:p>
    <w:p>
      <w:r>
        <w:t>LIBÉRATION CONDITIONNELLE;PRONOSTIC;RISQUE DE RÉCIDIVE | CP.86</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w:t>
      </w:r>
    </w:p>
    <w:p>
      <w:r>
        <w:rPr>
          <w:b/>
        </w:rPr>
        <w:t>E. 1.2</w:t>
      </w:r>
    </w:p>
    <w:p>
      <w:r>
        <w:t>En l'espèce, le recours est recevable, pour avoir été déposé à temps auprès de l'établissement carcéral (art. 91 al. 2 CPP) et selon la forme prescrite (art. 385 al. 1 et 390 al. 1 CPP). Le recourant, condamné, a un intérêt juridiquement protégé à l'annulation ou à la modification de la décision attaquée (art. 382 al. 1 CPP).</w:t>
      </w:r>
    </w:p>
    <w:p>
      <w:r>
        <w:rPr>
          <w:b/>
        </w:rPr>
        <w:t>E. 2</w:t>
      </w:r>
    </w:p>
    <w:p>
      <w:r>
        <w:t>Le recourant conteste le refus de sa demande de libération conditionnelle.![endif]&gt;![if&gt;</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7).![endif]&gt;![if&gt;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2.2</w:t>
      </w:r>
    </w:p>
    <w:p>
      <w:r>
        <w:t>En l'espèce, l'appréciation émise par le premier juge ne souffre pas de critique. Les critères qu'il a retenus et appliqués sont pertinents.![endif]&gt;![if&gt; Il peut y être renvoyé sans autre développement, car le recourant soulève des arguments qui tombent à faux. En particulier, il lui appartenait de contester par toute voie de droit – et en temps utile – la dernière condamnation prononcée contre lui, s’il estime n’avoir pas commis tout ou partie des faits qui y ont été retenus contre lui ni mérité la révocation de la libération conditionnelle que lui avait accordée la Chambre de céans. Au stade de l’exécution des peines ainsi infligées, sa critique ne peut être prise en considération. Ses autres griefs ont trait à la vie carcérale et ne font pas pièce à l’absence de tout projet sérieux pour sa sortie de prison. Le risque est donc grand qu’il ne poursuive son séjour illégal en Suisse et n’y commette de nouvelles infractions.</w:t>
      </w:r>
    </w:p>
    <w:p>
      <w:r>
        <w:rPr>
          <w:b/>
        </w:rPr>
        <w:t>E. 3</w:t>
      </w:r>
    </w:p>
    <w:p>
      <w:r>
        <w:t>Le recours s'avère manifestement mal fondé et pouvait, comme tel, être traité d'emblée sans échange d'écritures ni débats (art. 390 al. 2 et 5 a contrario CPP). ![endif]&gt;![if&gt;</w:t>
      </w:r>
    </w:p>
    <w:p>
      <w:r>
        <w:rPr>
          <w:b/>
        </w:rPr>
        <w:t>E. 4</w:t>
      </w:r>
    </w:p>
    <w:p>
      <w:r>
        <w:t>Le recourant, parce qu'il n'a pas gain de cause, supportera les frais envers l'État, qui seront fixés en totalité à CHF 800.- (art.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