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PM/417/2019 vom 5. April 2019</w:t>
      </w:r>
    </w:p>
    <w:p>
      <w:r>
        <w:t>GE Cour de justice, 2019-04-05, FR</w:t>
      </w:r>
    </w:p>
    <w:p>
      <w:r>
        <w:rPr>
          <w:b/>
        </w:rPr>
        <w:t xml:space="preserve">Quelle: </w:t>
      </w:r>
      <w:r>
        <w:t>https://mcp.opencaselaw.ch/entscheid/ge_gerichte_PM_417_2019</w:t>
      </w:r>
    </w:p>
    <w:p>
      <w:r>
        <w:t>FR: GE_GERICHTE PM/417/2019 du 5 avril 2019</w:t>
      </w:r>
    </w:p>
    <w:p>
      <w:r>
        <w:t>IT: GE_GERICHTE PM/417/2019 del 5 aprile 2019</w:t>
      </w:r>
    </w:p>
    <w:p>
      <w:pPr>
        <w:pStyle w:val="Heading2"/>
      </w:pPr>
      <w:r>
        <w:t>Regeste</w:t>
      </w:r>
    </w:p>
    <w:p>
      <w:r>
        <w:t>LIBÉRATION CONDITIONNELLE ; RISQUE DE RÉCIDIVE | CP.86</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Code de procédure pénale suisse, Bâle 2011, n. 12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En l'espèce, l'acte est recevable, pour avoir été déposé selon la forme (art. 384 let. b, 385 al. 1, 390 al. 1 et 396 al. 1 CPP) et, faute de précision sur la date de la notification du jugement, dans le délai légal (art.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comme c'est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w:t>
      </w:r>
    </w:p>
    <w:p>
      <w:r>
        <w:rPr>
          <w:b/>
        </w:rPr>
        <w:t>E. 3.2</w:t>
      </w:r>
    </w:p>
    <w:p>
      <w:r>
        <w:t>En l'espèce, la condition objective d'une libération conditionnelle est, certes, réalisée depuis le 9 avril 2019 et le recourant ne s'est jamais vu accorder de libération conditionnelle. Toutefois, il ne bénéficie pas de préavis positifs, hormis celui de C______, tempéré toutefois par une sanction prononcée en mars 2019 pour une bagarre, même si le recourant estime ne pas être responsable des circonstances dans lesquelles elle est intervenue. Entre 2016 et 2018, le recourant a été condamné à quatre autres reprises, notamment pour des actes de violence (lésions corporelles simples, à deux reprises, et violence ou menace contre les autorités et les fonctionnaires, aussi à deux reprises), des atteintes au patrimoine (vol), divers non-respects à des dispositions importantes de la législation suisse (délit contre la LStup, violation simple des règles de la circulation routière) et opposition aux actes de l'autorité. Après s'être vu refuser la libération conditionnelle, en août 2018, en raison du pronostic défavorable, le recourant a à nouveau été condamné, le 14 février 2019 pour les infractions dont il purge actuellement la peine, soit à nouveau un délit à la LStup et des violations des règles de la circulation routière. Le recourant a ainsi démontré que le risque de réitération retenu par le TAPEM, en août 2018, était bien réel. Or, ce risque est toujours concret, les projets d'avenir du recourant étant inconsistants. Alors qu'il allègue vouloir quitter la Suisse dès sa sortie de prison, il refuse de participer aux démarches en vue de son expulsion en Algérie et ses explications relatives à son intention d'aller vivre en Italie sont oiseuses, ne reposant sur aucun élément concret. Il ne donne aucune information concrète sur le lieu où il ira vivre, la manière dont il entendra gagner sa vie ni sur l'identité des amis devant l'accueillir. Ses allégations sur une prétendue autorisation de séjourner en Italie ne sont pas non plus étayées. Il s'ensuit qu'en cas de libération conditionnelle, le recourant se retrouverait dans la même précarité que celle ayant conduit à ses récentes récidives. Il résulte ainsi de l'appréciation de l'ensemble des éléments que le risque de récidive - d'infractions commises déjà, pour certaines, à plusieurs reprises - est trop élevé pour accorder au recourant l'élargissement demandé.</w:t>
      </w:r>
    </w:p>
    <w:p>
      <w:r>
        <w:rPr>
          <w:b/>
        </w:rPr>
        <w:t>E. 4</w:t>
      </w:r>
    </w:p>
    <w:p>
      <w:r>
        <w:t>Justifié, le jugement querellé sera donc confirmé.</w:t>
      </w:r>
    </w:p>
    <w:p>
      <w:r>
        <w:rPr>
          <w:b/>
        </w:rPr>
        <w:t>E. 5</w:t>
      </w:r>
    </w:p>
    <w:p>
      <w:r>
        <w:t>Le recourant, qui succombe, supportera les frais envers l'État, qui comprendront un émolument de CHF 600.-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