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PM/398/2014 vom 11. Juni 2014</w:t>
      </w:r>
    </w:p>
    <w:p>
      <w:r>
        <w:t>GE Cour de justice, 2014-06-11, FR</w:t>
      </w:r>
    </w:p>
    <w:p>
      <w:r>
        <w:rPr>
          <w:b/>
        </w:rPr>
        <w:t xml:space="preserve">Quelle: </w:t>
      </w:r>
      <w:r>
        <w:t>https://mcp.opencaselaw.ch/entscheid/ge_gerichte_PM_398_2014</w:t>
      </w:r>
    </w:p>
    <w:p>
      <w:r>
        <w:t>FR: GE_GERICHTE PM/398/2014 du 11 juin 2014</w:t>
      </w:r>
    </w:p>
    <w:p>
      <w:r>
        <w:t>IT: GE_GERICHTE PM/398/2014 del 11 giugno 2014</w:t>
      </w:r>
    </w:p>
    <w:p>
      <w:pPr>
        <w:pStyle w:val="Heading2"/>
      </w:pPr>
      <w:r>
        <w:t>Regeste</w:t>
      </w:r>
    </w:p>
    <w:p>
      <w:r>
        <w:t>EXÉCUTION DES PEINES ET DES MESURES; LIBÉRATION CONDITIONNELLE | CP.86.1; CP.87.2</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w:t>
      </w:r>
    </w:p>
    <w:p>
      <w:r>
        <w:rPr>
          <w:b/>
        </w:rPr>
        <w:t>E. 2.3</w:t>
      </w:r>
    </w:p>
    <w:p>
      <w:r>
        <w:t>En l’espèce, la condition objective prévue par l’art. 86 al. 1 CP est réalisée depuis le 26 mars 2014. Contrairement à ce qu'a retenu le TAPEM, le Ministère public a préavisé favorablement et sans condition la libération conditionnelle de l'appelant. Le comportement de ce dernier n'a certes pas été exemplaire en détention, en particulier lorsqu'il se trouvait à la prison de Champ-Dollon, puisqu'il a fait l'objet de deux sanctions disciplinaires pour avoir abusé de la sonnette et insulté des gardiens. Sans minimiser de tels agissements, il faut néanmoins relever que le premier incident est survenu après plus d'une année d'incarcération dans un établissement dont les conditions de détention sont connues pour être difficiles et alors que l'intéressé avait tout juste 21 ans. Les préavis négatifs et le refus du TAPEM sont pour le surplus essentiellement fondés sur les mauvais antécédents de l'appelant et sur le fait que celui-ci n'a pas encore entrepris le traitement ambulatoire ordonné par la Cour de justice dans son arrêt du ______ 2013. S'il n'est pas contestable que les infractions qu'il a commises sont graves, s'agissant en particulier des brigandages, on ne saurait perdre de vue que, contrairement à ce qui a été mentionné à plusieurs reprises, elles sont toutes antérieures aux deux peines qu'il purge actuellement, ce qui vaut également en ce qui concerne celles récemment sanctionnées par les autorités vaudoises, comme cela résulte du caractère complémentaire de la peine prononcée à cette occasion. Depuis lors, l'appelant a passé plus de deux ans et demi en détention, alors qu'il n'avait connu qu'une relativement brève période d'incarcération auparavant, de sorte que l'on peut raisonnablement compter sur l'effet dissuasif de la peine subie à ce jour et de celle qu'il serait amené à accomplir en cas d'échec d'une éventuelle libération conditionnelle. Par ailleurs, le fait qu'il n'ait pas pu entreprendre une psychothérapie jusqu'à présent est indépendant de sa volonté et tend plutôt à démontrer qu'un risque notamment hétéro-agressif n'a pas été jugé important. S'il est vrai que l'appelant n'a pas présenté un projet de réinsertion documenté, on ne saurait poser des exigences trop élevées en ce domaine, ce d'autant qu'en dépit de la durée de son incarcération, l'intéressé est resté très longtemps en détention préventive et n'apparaît pas avoir pu bénéficier des aménagements liés au régime de l'exécution de peine, de sorte qu'on voit difficilement comment il aurait pu, par exemple, trouver une place d'apprentissage. Il peut compter sur le soutien de sa sœur aînée qui apparaît prête à l'aider non seulement en l'hébergeant mais aussi dans toute autre démarche nécessaire pour lui permettre de se réinsérer dans la société. Au vu de ce qui précède, les conditions de l'art. 86 al. 1 CP apparaissent réalisées en ce sens que le pronostic est certes incertain mais n'apparaît pas concrètement défavorable, compte tenu aussi du jeune âge de l'appelant, étant également rappelé que la libération conditionnelle est la règle. La Chambre de céans considère en tout cas que les chances de réinsertion de l'appelant sont bien meilleures avec une cautèle consistant à prévoir une assistance de probation, mesure à laquelle il est disposé à se soumettre, ayant déjà pris des contacts avec le SPI en vue d'une éventuelle libération conditionnelle, et qui lui permettra de recevoir une aide utile dans la réalisation de ses objectifs et d'entreprendre enfin son suivi thérapeutique, tout en l'astreignant à des mesures destinées à prouver son abstinence à l'alcool. Ainsi, il convient de lui accorder la libération conditionnelle, assortie d'une assistance de probation durant le temps du délai d'épreuve (art. 87 al. 1 et 2 CP) et de règles de conduite correspondant au traitement ordonné par la Cour de justice dans son arrêt du ______ 2013. Il convient cependant d'attirer l'attention de l'appelant sur le fait que s'il devait, durant le délai d'épreuve, commettre un nouveau crime ou un délit, se soustraire à l’assistance de probation ou violer les règles de conduite, sa réincarcération pour le solde de sa peine pourra être ordonnée, nonobstant une nouvelle peine ou mesure (art. 89 al. 1 et 3 CP).</w:t>
      </w:r>
    </w:p>
    <w:p>
      <w:r>
        <w:rPr>
          <w:b/>
        </w:rPr>
        <w:t>E. 3</w:t>
      </w:r>
    </w:p>
    <w:p>
      <w:r>
        <w:t>Vu l'issue de l'appel, les frais de la procédure seront laissés à la charge de l'Etat (art. 428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