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PM/35/2023 vom 13. Februar 2023</w:t>
      </w:r>
    </w:p>
    <w:p>
      <w:r>
        <w:t>GE Cour de justice, 2023-02-13, FR</w:t>
      </w:r>
    </w:p>
    <w:p>
      <w:r>
        <w:rPr>
          <w:b/>
        </w:rPr>
        <w:t xml:space="preserve">Quelle: </w:t>
      </w:r>
      <w:r>
        <w:t>https://mcp.opencaselaw.ch/entscheid/ge_gerichte_PM_35_2023</w:t>
      </w:r>
    </w:p>
    <w:p>
      <w:r>
        <w:t>FR: GE_GERICHTE PM/35/2023 du 13 février 2023</w:t>
      </w:r>
    </w:p>
    <w:p>
      <w:r>
        <w:t>IT: GE_GERICHTE PM/35/2023 del 13 febbraio 2023</w:t>
      </w:r>
    </w:p>
    <w:p>
      <w:pPr>
        <w:pStyle w:val="Heading2"/>
      </w:pPr>
      <w:r>
        <w:t>Regeste</w:t>
      </w:r>
    </w:p>
    <w:p>
      <w:r>
        <w:t>CONVERSION DE LA PEINE;DÉFAUT(CONTUMACE) | CP.36</w:t>
      </w:r>
    </w:p>
    <w:p>
      <w:pPr>
        <w:pStyle w:val="Heading2"/>
      </w:pPr>
      <w:r>
        <w:t>Erwägungen</w:t>
      </w:r>
    </w:p>
    <w:p>
      <w:r>
        <w:rPr>
          <w:b/>
        </w:rPr>
        <w:t>E. 1.1</w:t>
      </w:r>
    </w:p>
    <w:p>
      <w:r>
        <w:t>En dépit de l'abrogation de l'art. 3 let. a LaCP avec effet au 1er janvier 2017, le TAPEM est compétent pour connaître de l'opposition à une conversion d'amende prononcée par le SdC (art. 41 al. 1 LaCP), puisque le SdC est une autorité administrative, au sens de l'art. 17 al. 1 CPP (art. 11 al. 1 LaCP), qui est habilitée à prendre les décisions ultérieures (art. 363 al. 2 CPP), le TAPEM devant dans ce contexte appliquer la procédure des art. 363 à 365 CPP ( ACPR/112/2019 du 8 février 2019 consid. 3.1).![endif]&gt;![if&gt; Le jugement rendu en cette matière par le TAPEM en application de l'art. 36 CP constitue une décision judiciaire indépendante (art. 363 CPP), laquelle est susceptible, au plan cantonal, d'un recours au sens de l'art. 393 al. 1 let. b CPP auprès de la Chambre de céans (arrêt du Tribunal fédéral 6B_293/2012 du 21 février 2013).</w:t>
      </w:r>
    </w:p>
    <w:p>
      <w:r>
        <w:rPr>
          <w:b/>
        </w:rPr>
        <w:t>E. 1.2</w:t>
      </w:r>
    </w:p>
    <w:p>
      <w:r>
        <w:t>En l'espèce, le recours est recevable, pour avoir été déposé selon la forme et dans le délai prescrits (art. 385 al. 1, 390 al. 1 et 396 al. 1 CPP) par le condamné, qui a un intérêt juridiquement protégé à l'annulation ou à la modification de la décision attaquée (art. 382 al. 1 CPP).</w:t>
      </w:r>
    </w:p>
    <w:p>
      <w:r>
        <w:rPr>
          <w:b/>
        </w:rPr>
        <w:t>E. 2</w:t>
      </w:r>
    </w:p>
    <w:p>
      <w:r>
        <w:t>2.1. Selon l’art. 36 al. 1 CP, dans la mesure où le condamné ne paie pas la peine pécuniaire et que celle-ci est inexécutable par la voie de la poursuite pour dettes (art. 35 al. 3 CP), la peine pécuniaire fait place à une peine privative de liberté. Un jour-amende correspond à un jour de peine privative de liberté. Le paiement ultérieur de la peine pécuniaire entraîne une réduction proportionnelle de la peine privative de liberté de substitution. Selon l'art. 36 al. 2 CP, si la peine pécuniaire est prononcée par une autorité administrative, un juge doit statuer sur la peine privative de liberté de substitution. À teneur de l'art. 106 al. 5 CP, les art. 35 et 36 CP sont applicables par analogie à l’exécution et à la conversion de l’amende. Dans la mesure où le Code pénal n’établit aucune base de calcul pour la conversion d’une amende en peine privative de liberté, la doctrine, se fondant d’une part sur le montant maximum de CHF 10'000.- de l’amende contraventionnelle fixé par l'art. 106 al. 1 CP, et d’autre part sur la durée maximale de la peine privative de liberté de substitution (art. 106 al. 2 CP), propose de retenir qu’une somme de CHF 100.- (CHF 111.- arrondis à un montant plus aisément utilisable) correspond à un jour de peine privative de liberté, et ainsi de suite par tranche de CHF 100.- (BÄNZIGER/HUBSCHMID/SOLLBERGER, Zur Revision des allgemeinen Teils des schweizerischen Strafrechts und zum neuen materiellen Jugendstrafrecht , Berne 2006, p. 83-84), arrondi au jour supérieur. 6.2. En l'espèce, le recourant allègue ne pas avoir été au volant du véhicule au moment des infractions constatées, mais il n'a pas soulevé ce fait à réception des ordonnances pénales, ni ne l'a prouvé d'une quelconque manière. Il n'établit pas non plus avoir écrit à l'administration pour l'informer de ce fait, comme il le prétend, étant relevé que le SdC soutient n'avoir rien reçu de la part du recourant et le dossier ne contient pas de lettres non plus. Le recourant conteste le montant de l'amende (CHF 460.-), dont la conversion en peine privative de liberté de substitution a été ordonnée. Or, le recourant a fait l'objet de deux ordonnances pénales, pour deux infractions commises, l'une le 30 juillet 2021 et l'autre le lendemain, pour des amendes, respectives, de CHF 60.- et CHF 400.-. La décision est dès lors correcte sur ce point. La situation financière du recourant et de son épouse n'entre pas en ligne de compte à ce stade. Enfin, rien ne justifie de s'écarter du mode de calcul retenu par le premier juge, soit un jour de peine privative de liberté pour chaque tranche de CHF 100.- d'amende, puisque le taux de conversion est conforme aux principes sus-rappelés. C'est ainsi à bon droit que le TAPEM a confirmé la conversion d'amende.</w:t>
      </w:r>
    </w:p>
    <w:p>
      <w:r>
        <w:rPr>
          <w:b/>
        </w:rPr>
        <w:t>E. 3</w:t>
      </w:r>
    </w:p>
    <w:p>
      <w:r>
        <w:t>Infondé, le recours doit être rejeté.</w:t>
      </w:r>
    </w:p>
    <w:p>
      <w:r>
        <w:rPr>
          <w:b/>
        </w:rPr>
        <w:t>E. 4</w:t>
      </w:r>
    </w:p>
    <w:p>
      <w:r>
        <w:t>Le recourant, qui succombe, supportera les frais envers l'État, y compris un émolument de décision de CHF 200.- (art. 428 al. 1 CPP et 13 al. 1 du Règlement fixant le tarif des frais en matière pénale, RTFMP ; E 4 10.03), la procédure de demande d'assistance juridique étant gratuite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