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PM/342/2014 vom 20. Mai 2014</w:t>
      </w:r>
    </w:p>
    <w:p>
      <w:r>
        <w:t>GE Cour de justice, 2014-05-20, FR</w:t>
      </w:r>
    </w:p>
    <w:p>
      <w:r>
        <w:rPr>
          <w:b/>
        </w:rPr>
        <w:t xml:space="preserve">Quelle: </w:t>
      </w:r>
      <w:r>
        <w:t>https://mcp.opencaselaw.ch/entscheid/ge_gerichte_PM_342_2014</w:t>
      </w:r>
    </w:p>
    <w:p>
      <w:r>
        <w:t>FR: GE_GERICHTE PM/342/2014 du 20 mai 2014</w:t>
      </w:r>
    </w:p>
    <w:p>
      <w:r>
        <w:t>IT: GE_GERICHTE PM/342/2014 del 20 maggio 2014</w:t>
      </w:r>
    </w:p>
    <w:p>
      <w:pPr>
        <w:pStyle w:val="Heading2"/>
      </w:pPr>
      <w:r>
        <w:t>Regeste</w:t>
      </w:r>
    </w:p>
    <w:p>
      <w:r>
        <w:t>EXÉCUTION DES PEINES ET DES MESURES; LIBÉRATION CONDITIONNELLE | CP.86.1; CPP.127</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En l'espèce, l'appel a bien été interjeté et motivé dans la forme et les délais prescrits par la loi (art. 398 et 399 CPP par analogie), mais il n'émane pas de B______, ayant uniquement été formé par sa mère. Or, celle-ci n'est pas sa représentante légale et ne peut pas être assimilée à un conseil juridique au sens de l'art. 127 al. 1 CPP appliqué par analogie. La défense des prévenus est en effet réservée aux avocats (art. 127 al. 5 CPP) et il en va de même, à Genève, de l'assistance des autres participants à la procédure au sens l'al. 4 de cette disposition, en vertu de l'art. 18 de la loi d'application du code pénal suisse et d'autres lois fédérales en matière pénale du 27 août 2009 (LaCP ; RSGe E.4.10). L'appel doit par conséquent être déclaré irrecevable.</w:t>
      </w:r>
    </w:p>
    <w:p>
      <w:r>
        <w:rPr>
          <w:b/>
        </w:rPr>
        <w:t>E. 2</w:t>
      </w:r>
    </w:p>
    <w:p>
      <w:r>
        <w:t>La partie dont l'appel est irrecevable est considérée comme ayant succombé et doit en principe supporter les frais de la procédure envers l'État (art. 428 CPP). Toutefois, compte tenu de la particularité du cas d'espèce, les frais de la procédure d'appel seront laissés à la charge de l'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