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PM/336/2019 vom 11. März 2019</w:t>
      </w:r>
    </w:p>
    <w:p>
      <w:r>
        <w:t>GE Cour de justice, 2019-03-11, FR</w:t>
      </w:r>
    </w:p>
    <w:p>
      <w:r>
        <w:rPr>
          <w:b/>
        </w:rPr>
        <w:t xml:space="preserve">Quelle: </w:t>
      </w:r>
      <w:r>
        <w:t>https://mcp.opencaselaw.ch/entscheid/ge_gerichte_PM_336_2019</w:t>
      </w:r>
    </w:p>
    <w:p>
      <w:r>
        <w:t>FR: GE_GERICHTE PM/336/2019 du 11 mars 2019</w:t>
      </w:r>
    </w:p>
    <w:p>
      <w:r>
        <w:t>IT: GE_GERICHTE PM/336/2019 del 11 marzo 2019</w:t>
      </w:r>
    </w:p>
    <w:p>
      <w:pPr>
        <w:pStyle w:val="Heading2"/>
      </w:pPr>
      <w:r>
        <w:t>Regeste</w:t>
      </w:r>
    </w:p>
    <w:p>
      <w:r>
        <w:t>LIBÉRATION CONDITIONNELLE ; RISQUE DE RÉCIDIVE ; ANTÉCÉDENT ; PRONOSTIC ; ASSISTANCE JUDICIAIRE | CP.86; Cst.29.al3</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ad art. 363). Depuis le 1 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et dans le délai (art. 385 et 396 al. 1 CPP) et émane du condamné, qui a un intérêt à l'annulation de la décision entreprise (art. 104 al. 1 let. a, 111 et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objective d'une libération conditionnelle est, certes, réalisée depuis le 20 mars 2019. Les motifs pour lesquels le TAPEM s'est fondé pour poser le pronostic défavorable n'apparaissent toutefois pas critiquables. Le préavis favorable de l'établissement carcéral ne suffit, à lui seul, en effet pas, le bon comportement du recourant en détention n'étant pas déterminant. Les préavis du SAPEM et du Ministère public ne sont pas positifs. Le recourant a déjà été condamné à 7 reprises, dont 5 pour conduite d'un véhicule malgré le retrait de permis, depuis 2014. Lesdites condamnations ne l'ont aucunement dissuadé de récidiver, bien au contraire. Ce tableau, avec l'échec d'une précédente libération conditionnelle, rend le risque de réitération important. L'on ne voit pas en quoi les circonstances auraient aujourd'hui changé et garantiraient qu'il ne récidive pas, une nouvelle fois. Au contraire, alors qu'il se savait faire l'objet d'une interdiction de conduire en Suisse, il a persisté dans la violation de cette interdiction à réitérées reprises. Rien ne laisse à penser aujourd'hui que le recourant saurait mettre à profit une nouvelle libération conditionnelle et ce d'autant moins que son attitude, notamment ses déclarations selon lesquelles ses condamnations étaient des "petites choses" et que "toute cette histoire est une merde" , dénote, encore à l'heure actuelle, une absence de remise en question et de prise de conscience quant à la gravité de son comportement délictueux. En l'absence d'élément contraire, sa situation personnelle demeure identique à celle l'ayant conduit à commettre les récentes infractions. D'une appréciation d'ensemble, il résulte que le risque de récidive est trop élevé pour donner suite à la requête du recourant. Le premier juge l'a parfaitement évalué.</w:t>
      </w:r>
    </w:p>
    <w:p>
      <w:r>
        <w:rPr>
          <w:b/>
        </w:rPr>
        <w:t>E. 4</w:t>
      </w:r>
    </w:p>
    <w:p>
      <w:r>
        <w:t>Justifiée, le jugement querellé sera donc confirmé.</w:t>
      </w:r>
    </w:p>
    <w:p>
      <w:r>
        <w:rPr>
          <w:b/>
        </w:rPr>
        <w:t>E. 5</w:t>
      </w:r>
    </w:p>
    <w:p>
      <w:r>
        <w:t>Le recourant demande la nomination d'un avocat d'office.</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ATF 120 Ia 43 consid. 2a).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ATF 133 III 614 consid. 5).</w:t>
      </w:r>
    </w:p>
    <w:p>
      <w:r>
        <w:rPr>
          <w:b/>
        </w:rPr>
        <w:t>E. 5.2</w:t>
      </w:r>
    </w:p>
    <w:p>
      <w:r>
        <w:t>En l'occurrence, le recourant, détenu dans le cadre de l'exécution de peines, est vraisemblablement indigent. Cet aspect peut demeurer indécis au vu de ce qui suit. Au regard de la situation de l'intéressé, exposée aux considérants précédents, force est de constater que les chances de succès de son recours étaient quasi inexistantes, compte tenu des conditions légales pour obtenir cet élargissement, qui ne se résument pas à son bon comportement en détention. En outre, si l'enjeu de la présente procédure était certes important pour le recourant, par suite de sa demande de libération conditionnelle, la cause est dénuée de difficulté. En effet, le litige portait sur le pronostic, favorable ou non, d'un éventuel risque de réitération. L'examen a porté tant sur les éléments au dossier que sur le projet de vie du recourant, que ce dernier était à même d'exposer sans l'aide d'un avocat, l'incompréhension de la langue devant avant tout être palliée par l'assistance d'un interprète (arrêt du Tribunal fédéral 1B_185/2015 du 9 juin 2015 consid. 3.4), ce qui fut le cas à tout le moins par-devant le TAPEM. La simple contestation du jugement rendu à la Chambre de céans ne nécessite pas le concours d'un avocat. Il s'ensuit que la demande de nomination d'un défenseur d'office doit être refusée.</w:t>
      </w:r>
    </w:p>
    <w:p>
      <w:r>
        <w:rPr>
          <w:b/>
        </w:rPr>
        <w:t>E. 6</w:t>
      </w:r>
    </w:p>
    <w:p>
      <w:r>
        <w:t>Le recourant, qui succombe, supportera les frais envers l'État, qui comprendront un émolument de CHF 800.- (art. 428 al. 1 CPP et 13 al. 1 du Règlement fixant le tarif des frais en matière pénale, RTFMP ; E 4 10.03). L'examen de la demande d'assistance juridique est gratuit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