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PM/331/2023 vom 28. April 2023</w:t>
      </w:r>
    </w:p>
    <w:p>
      <w:r>
        <w:t>GE Cour de justice, 2023-04-28, FR</w:t>
      </w:r>
    </w:p>
    <w:p>
      <w:r>
        <w:rPr>
          <w:b/>
        </w:rPr>
        <w:t xml:space="preserve">Quelle: </w:t>
      </w:r>
      <w:r>
        <w:t>https://mcp.opencaselaw.ch/entscheid/ge_gerichte_PM_331_2023</w:t>
      </w:r>
    </w:p>
    <w:p>
      <w:r>
        <w:t>FR: GE_GERICHTE PM/331/2023 du 28 avril 2023</w:t>
      </w:r>
    </w:p>
    <w:p>
      <w:r>
        <w:t>IT: GE_GERICHTE PM/331/2023 del 28 aprile 2023</w:t>
      </w:r>
    </w:p>
    <w:p>
      <w:pPr>
        <w:pStyle w:val="Heading2"/>
      </w:pPr>
      <w:r>
        <w:t>Regeste</w:t>
      </w:r>
    </w:p>
    <w:p>
      <w:r>
        <w:t>MESURE THÉRAPEUTIQUE INSTITUTIONNELLE;RISQUE DE RÉCIDIVE | CP.59</w:t>
      </w:r>
    </w:p>
    <w:p>
      <w:pPr>
        <w:pStyle w:val="Heading2"/>
      </w:pPr>
      <w:r>
        <w:t>Erwägungen</w:t>
      </w:r>
    </w:p>
    <w:p>
      <w:r>
        <w:rPr>
          <w:b/>
        </w:rPr>
        <w:t>E. 1.1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CPP).![endif]&gt;![if&gt;</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Le recourant considère que le TAPEM n'a pas suffisamment motivé la prolongation de la mesure institutionnelle, violant ainsi son droit d'être entendu.![endif]&gt;![if&gt;</w:t>
      </w:r>
    </w:p>
    <w:p>
      <w:r>
        <w:rPr>
          <w:b/>
        </w:rPr>
        <w:t>E. 2.1</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r>
        <w:rPr>
          <w:b/>
        </w:rPr>
        <w:t>E. 2.2</w:t>
      </w:r>
    </w:p>
    <w:p>
      <w:r>
        <w:t>En l'espèce, le TAPEM expose les motifs qui l'ont conduit à prolonger la mesure en cours, en raison de sa prochaine échéance et en vue de permettre au SAPEM d'avancer dans la mise en place du plan d'exécution de la mesure. Le recourant ne s'y est au demeurant pas trompé puisqu'il critique précisément cette motivation dans son recours. Il s'ensuit que ce grief peut être rejeté.</w:t>
      </w:r>
    </w:p>
    <w:p>
      <w:r>
        <w:rPr>
          <w:b/>
        </w:rPr>
        <w:t>E. 3</w:t>
      </w:r>
    </w:p>
    <w:p>
      <w:r>
        <w:t>Le recourant reproche au TAPEM d'avoir refusé la libération conditionnelle et ordonné la prolongation de la mesure institutionnelle qu'il considère comme disproportionnée.![endif]&gt;![if&gt;</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 arrêts du Tribunal fédéral 6B_1167/2018 du 23 janvier 2019 consid. 4.3.1).</w:t>
      </w:r>
    </w:p>
    <w:p>
      <w:r>
        <w:rPr>
          <w:b/>
        </w:rPr>
        <w:t>E. 3.2</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et références citées ; arrêt du Tribunal fédéral 6B_778/2013 du 10 février 2014 consid. 2.1).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Une expertise ancienne est suffisante lorsqu'elle appréhende tous les aspects nécessaires et n'a rien perdu de son actualité (ATF 134 IV 246 consid. 4.3 p. 254 ; 128 IV 241 consid. 3.4 p. 247 ss ; arrêts du Tribunal fédéral 6B_778/2013 du 10 février 2014 consid. 2.1 et 6B_377/2013 du 19 juillet 2013 consid. 1.2.3). 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 ; arrêt du Tribunal fédéral 6B_172/2017 du 16 novembre 2017 consid. 1.1.2). Ensuite, pour qu'un traitement institutionnel puisse être prolongé, son maintien doit permettre de détourner l'auteur de nouveaux crimes ou de nouveaux délits en relation avec son trouble (art. 59 al. 4 CP ; ATF 135 IV 139 consid. 2.3.1 p. 143 ; arrêt du Tribunal fédéral 6B_438/2018 du 27 juillet 2018 consid. 2.1).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À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135 IV 139 consid. 2.4 p. 143 ss ; arrêt du Tribunal fédéral 6B_438/2018 du 27 juillet 2018 consid. 2.1). La mesure ne saurait être prolongée systématiquement de cinq ans (ATF 135 IV 139 consid. 2.4.2 p. 145 ss ; arrêt du Tribunal fédéral 6B_778/2013 du 10 février 2014 consid. 2.5.1).</w:t>
      </w:r>
    </w:p>
    <w:p>
      <w:r>
        <w:rPr>
          <w:b/>
        </w:rPr>
        <w:t>E. 3.3</w:t>
      </w:r>
    </w:p>
    <w:p>
      <w:r>
        <w:t>En l'espèce, il n'est pas contesté que le recourant évolue favorablement depuis la décision de médication sous contrainte du 19 juillet 2022 et que des démarches ont été entamées en vue d'un éventuel passage en milieu ouvert, notamment par l'octroi d'une conduite. Il n'appartient pas à la Chambre de céans de se déterminer sur ce point, dès lors que le choix du lieu d'exécution de la mesure relève de la seule compétence de l'autorité d'exécution, en l'occurrence du SAPEM. La seule question qui se pose est donc de savoir si les conditions de la libération de la mesure sollicitée par le recourant sont réalisées. En l'occurrence, nonobstant les progrès du recourant depuis plusieurs mois, cette évolution demeure fragile. Les médecins du SMI ont, dans leur rapport du 7 février 2023, fait mention d'un épisode lors duquel il a présenté des troubles du comportement avec une intolérance à la frustration. Il reste anosognosique, avec une adhésion qualifiée de partielle au traitement médicamenteux. Il doit encore travailler sur la nécessité de sa médication à long terme et sur l'importance de maintenir une abstinence aux toxiques. Sa prise de conscience par rapport à l'illicéité et la gravité des actes commis reste superficielle. L'intéressé a peu évolué sur ces différents éléments alors même que ceux-ci représentent des facteurs importants de récidive. En outre, l'ensemble des intervenants a relevé que le temps d'observation reste pour l'heure insuffisant pour évaluer globalement le recourant et la prise de son traitement neuroleptique – indispensable pour contenir le risque de récidive. Enfin, la prolongation de la mesure n'apparait en rien disproportionnée, ce d'autant que la situation du recourant sera réexaminée lors du prochain contrôle annuel. L'atteinte à sa liberté personnelle engendrée par la mesure demeure raisonnable au regard de ses effets positifs sur lui et du risque de récidive qu'il continuait à présenter en cas d'interruption du traitement. Même si la mesure a été ordonnée il y a plus de cinq ans, l'amélioration de son état psychique est somme toute récente et doit encore être consolidée en vue de la mise en œuvre des premiers allègements prévus (conduites), puis l'élaboration d'un éventuel projet de passage en milieu ouvert.</w:t>
      </w:r>
    </w:p>
    <w:p>
      <w:r>
        <w:rPr>
          <w:b/>
        </w:rPr>
        <w:t>E. 4</w:t>
      </w:r>
    </w:p>
    <w:p>
      <w:r>
        <w:t>Justifiée, la décision querellée sera donc confirmée. ![endif]&gt;![if&gt;</w:t>
      </w:r>
    </w:p>
    <w:p>
      <w:r>
        <w:rPr>
          <w:b/>
        </w:rPr>
        <w:t>E. 5</w:t>
      </w:r>
    </w:p>
    <w:p>
      <w:r>
        <w:t>Le recourant, qui succombe, supportera les frais envers l'État, qui seront fixés en totalité à CHF 600.- (art. 428 al. 1 CPP et 13 al. 1 du Règlement fixant le tarif des frais en matière pénale, RTFMP ; E 4 10.03). ![endif]&gt;![if&gt;</w:t>
      </w:r>
    </w:p>
    <w:p>
      <w:r>
        <w:rPr>
          <w:b/>
        </w:rPr>
        <w:t>E. 6</w:t>
      </w:r>
    </w:p>
    <w:p>
      <w:r>
        <w:t>Le recourant sollicite la nomination d'office de Me C______. ![endif]&gt;![if&gt;</w:t>
      </w:r>
    </w:p>
    <w:p>
      <w:r>
        <w:rPr>
          <w:b/>
        </w:rPr>
        <w:t>E. 6.1</w:t>
      </w:r>
    </w:p>
    <w:p>
      <w:r>
        <w:t>Conformément à l'art. 29 al. 3 Cst., le recourant – vraisemblablement indigent – peut prétendre, dans le cas d'espèce, à l'assistance judiciaire gratuite.</w:t>
      </w:r>
    </w:p>
    <w:p>
      <w:r>
        <w:rPr>
          <w:b/>
        </w:rPr>
        <w:t>E. 6.2</w:t>
      </w:r>
    </w:p>
    <w:p>
      <w:r>
        <w:t>A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6.3</w:t>
      </w:r>
    </w:p>
    <w:p>
      <w:r>
        <w:t>En l'occurrence, le conseil du recourant a produit un état de frais portant sur 7h35 d'activité au tarif horaire de CHF 200.-. Compte tenu de son écriture de recours de treize pages, dont deux pages de garde et de conclusions, laquelle reprend pour l'essentiel, dans sa partie en droit, ses déterminations du 26 avril 2023 devant le TAPEM, ainsi que de sa réplique d'une page, cinq heures d'activité, au tarif horaire de CHF 200.- apparaissent en adéquation avec le travail accompli. L'indemnité sera, partant, arrêtée à CHF 1'077.-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