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PM/30/2012 vom 23. März 2012</w:t>
      </w:r>
    </w:p>
    <w:p>
      <w:r>
        <w:t>GE Cour de justice, 2012-03-23, FR</w:t>
      </w:r>
    </w:p>
    <w:p>
      <w:r>
        <w:rPr>
          <w:b/>
        </w:rPr>
        <w:t xml:space="preserve">Quelle: </w:t>
      </w:r>
      <w:r>
        <w:t>https://mcp.opencaselaw.ch/entscheid/ge_gerichte_PM_30_2012</w:t>
      </w:r>
    </w:p>
    <w:p>
      <w:r>
        <w:t>FR: GE_GERICHTE PM/30/2012 du 23 mars 2012</w:t>
      </w:r>
    </w:p>
    <w:p>
      <w:r>
        <w:t>IT: GE_GERICHTE PM/30/2012 del 23 marzo 2012</w:t>
      </w:r>
    </w:p>
    <w:p>
      <w:pPr>
        <w:pStyle w:val="Heading2"/>
      </w:pPr>
      <w:r>
        <w:t>Regeste</w:t>
      </w:r>
    </w:p>
    <w:p>
      <w:r>
        <w:t>; EXÉCUTION DES PEINES ET DES MESURES ; LIBÉRATION CONDITIONNELLE | CP.86; CP.87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2.1</w:t>
      </w:r>
    </w:p>
    <w:p>
      <w:r>
        <w:t>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(NIGGLI/WIPRÄCHTIGER, Basler Kommentar, Strafrecht I , Bâle 2007, n. 5 ad. art. 1576 ; S. TRECHSEL, Schweizerisches Strafgesetzbuch : Praxiskommentar , Zurich 2008, n. 2 ad. art. 86).</w:t>
      </w:r>
    </w:p>
    <w:p>
      <w:r>
        <w:rPr>
          <w:b/>
        </w:rPr>
        <w:t>E. 2.2</w:t>
      </w:r>
    </w:p>
    <w:p>
      <w:r>
        <w:t>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recueillies quant à son sort une fois libéré. Il s’agit donc d’anticiper autant que possible un comportement et des circonstances à venir dans une perspective prospective.</w:t>
      </w:r>
    </w:p>
    <w:p>
      <w:r>
        <w:rPr>
          <w:b/>
        </w:rPr>
        <w:t>E. 2.3</w:t>
      </w:r>
    </w:p>
    <w:p>
      <w:r>
        <w:t>En l’espèce, la condition objective prévue par l’art. 86 al. 1 CP est réalisée depuis le 27 février 2012. Le préavis positif du SAPEM est appuyé par le Ministère public. L'appelant n'a pas trahi la confiance mise en lui lors de la libération conditionnelle dont il a bénéficié en 2004. Il est certes revenu en Suisse et a, à nouveau, été condamné pour un trafic de stupéfiants mais après la fin de son délai d'épreuve, respectant ainsi les conditions de sa libération. Le risque que l’appelant commette de nouvelles infractions s’il n’exécute pas l’entier de la peine ne peut en tout état être qualifié de concret pour ce seul motif. Ses projets d'avenir de retour dans son pays d'origine pour s'occuper de sa famille et de son fils malade sont fragiles mais suffisants en l'espèce. Il entend exercer la profession de maçon indépendant avec son père malgré son allergie au ciment et son épouse semble disposée à reprendre la vie commune. Il expose avoir pris conscience de ses actes. L’appelant s’est comporté correctement en détention, ce qui démontre qu’il est en mesure de respecter les règles qui lui sont fixées. Son engagement au travail est d'ailleurs souligné, tant par le SAPEM que par la direction de Montfleury et aucun manquement ou écart n'est à déplorer par les autorités compétentes. L'absence de pièce d'identité ne constitue pas non plus un obstacle dirimant à son retour, les démarches à cet effet pouvant être entreprises par le biais du SAPEM. Dans ces circonstances, la Cour de céans ne voit rien qui puisse faire obstacle à la requête de l'appelant, dont les conditions d'octroi de la libération conditionnelle sont réalisées.</w:t>
      </w:r>
    </w:p>
    <w:p>
      <w:r>
        <w:rPr>
          <w:b/>
        </w:rPr>
        <w:t>E. 3</w:t>
      </w:r>
    </w:p>
    <w:p>
      <w:r>
        <w:t>3.1 A teneur de l'article 87 al. 1 CP, le détenu libéré conditionnellement doit être soumis à un délai d'épreuve égal à la durée du solde de sa peine, dans une fourchette s'étendant d'un an au minimum, à cinq ans au plus.</w:t>
      </w:r>
    </w:p>
    <w:p>
      <w:r>
        <w:rPr>
          <w:b/>
        </w:rPr>
        <w:t>E. 3.2</w:t>
      </w:r>
    </w:p>
    <w:p>
      <w:r>
        <w:t>Cette mesure sera en l'espèce assortie d’un délai d’épreuve d'un an à compter de la libération de l’appelant.</w:t>
      </w:r>
    </w:p>
    <w:p>
      <w:r>
        <w:rPr>
          <w:b/>
        </w:rPr>
        <w:t>E. 4</w:t>
      </w:r>
    </w:p>
    <w:p>
      <w:r>
        <w:t>L'appel sera admis et le jugement du TAPEM du 9 février 2012 annulé. La libération conditionnelle de l'appelant sera ordonnée pour la date du 4 avril 2012.</w:t>
      </w:r>
    </w:p>
    <w:p>
      <w:r>
        <w:rPr>
          <w:b/>
        </w:rPr>
        <w:t>E. 5</w:t>
      </w:r>
    </w:p>
    <w:p>
      <w:r>
        <w:t>L'appel ayant été admis, il ne sera pas perçu de frais (art. 428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