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PM/307/2013 vom 6. Juni 2013</w:t>
      </w:r>
    </w:p>
    <w:p>
      <w:r>
        <w:t>GE Cour de justice, 2013-06-06, FR</w:t>
      </w:r>
    </w:p>
    <w:p>
      <w:r>
        <w:rPr>
          <w:b/>
        </w:rPr>
        <w:t xml:space="preserve">Quelle: </w:t>
      </w:r>
      <w:r>
        <w:t>https://mcp.opencaselaw.ch/entscheid/ge_gerichte_PM_307_2013</w:t>
      </w:r>
    </w:p>
    <w:p>
      <w:r>
        <w:t>FR: GE_GERICHTE PM/307/2013 du 6 juin 2013</w:t>
      </w:r>
    </w:p>
    <w:p>
      <w:r>
        <w:t>IT: GE_GERICHTE PM/307/2013 del 6 giugno 2013</w:t>
      </w:r>
    </w:p>
    <w:p>
      <w:pPr>
        <w:pStyle w:val="Heading2"/>
      </w:pPr>
      <w:r>
        <w:t>Regeste</w:t>
      </w:r>
    </w:p>
    <w:p>
      <w:r>
        <w:t>EXÉCUTION DES PEINES ET DES MESURES; LIBÉRATION CONDITIONNELLE | CP.86</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 ATF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1576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S. TRECHSEL, op. cit ., n. 8-9 ad. art. 86) .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 / L. MOREILLON / B. VIREDAZ / A. BISCHOFSKY, op. cit. , p. 361).</w:t>
      </w:r>
    </w:p>
    <w:p>
      <w:r>
        <w:rPr>
          <w:b/>
        </w:rPr>
        <w:t>E. 2.3</w:t>
      </w:r>
    </w:p>
    <w:p>
      <w:r>
        <w:t>En l’espèce, la condition objective prévue par l’art. 86 al. 1 CP est réalisée depuis le 30 avril 2013. L’appelant est ressortissant ______, ne dispose d'aucun titre de séjour en Suisse mais est titulaire d'une carte de séjour belge. Il dit avoir une compagne et un enfant, né en 2009, en Belgique, pays dans lequel il réside depuis 2007 et avoir travaillé dans les hôpitaux comme brancardier entre 2009 et 2010, puis sur appel les années suivantes. Sa situation personnelle et professionnelle n'est pas documentée et paraît incertaine. Selon l'extrait de son casier judiciaire suisse, il a de très nombreux antécédents pour des faits spécifiques et il est admis et non contesté qu'il a déjà bénéficié d'une libération conditionnelle, accordée par les autorités genevoises en octobre 2006, suite à sa condamnation du 22 juin 2006 pour infraction à la loi sur les stupéfiants. Ses explications selon lesquelles il n'aurait plus été condamné en Suisse sous l'identité d'B______ après 2006 sont contredites par le fait qu'il a été de nouveau condamné sous ce patronyme le 9 janvier 2011, alors qu'il était déjà titulaire d'un permis de séjour belge au nom d'A______ à cette date, selon ses explications. L'appelant, qui pourtant se plaint des risques de confusion liés à son ancienne identité, n'a pas mentionné la nouvelle au Ministère public lors de sa dernière condamnation. L'ordonnance pénale du 9 janvier 2011, qui a été notifiée le même jour en mains propres à l'appelant, mentionne d'ailleurs que ce dernier a fait l'objet de quinze condamnations depuis 2002 - les plus anciennes ayant été radiées dans l'intervalle - ce qu'il n'a pas contesté. Partant, rien dans le dossier ne permet sérieusement de douter de la validité des inscriptions figurant au casier judiciaire. Enfin, les projets d'avenir de l'appelant de retourner en Belgique pour retrouver sa compagne et sa fille et se mettre à son compte ne sont pas étayés. Pour ces motifs, la Chambre de céans, à l’instar du TAPEM, ne peut que retenir un pronostic défavorable quant au risque de voir l’appelant récidiver dans ses activités délictueuses. Les conditions d’application de l’art. 86 al. 1 CP n’étant pas réalisées, la libération conditionnelle doit être refusée et le jugement entrepris confirmé.</w:t>
      </w:r>
    </w:p>
    <w:p>
      <w:r>
        <w:rPr>
          <w:b/>
        </w:rPr>
        <w:t>E. 3</w:t>
      </w:r>
    </w:p>
    <w:p>
      <w:r>
        <w:t>L’appelant, qui succombe,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