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PM/238/2013 vom 13. Mai 2013</w:t>
      </w:r>
    </w:p>
    <w:p>
      <w:r>
        <w:t>GE Cour de justice, 2013-05-13, FR</w:t>
      </w:r>
    </w:p>
    <w:p>
      <w:r>
        <w:rPr>
          <w:b/>
        </w:rPr>
        <w:t xml:space="preserve">Quelle: </w:t>
      </w:r>
      <w:r>
        <w:t>https://mcp.opencaselaw.ch/entscheid/ge_gerichte_PM_238_2013</w:t>
      </w:r>
    </w:p>
    <w:p>
      <w:r>
        <w:t>FR: GE_GERICHTE PM/238/2013 du 13 mai 2013</w:t>
      </w:r>
    </w:p>
    <w:p>
      <w:r>
        <w:t>IT: GE_GERICHTE PM/238/2013 del 13 maggio 2013</w:t>
      </w:r>
    </w:p>
    <w:p>
      <w:pPr>
        <w:pStyle w:val="Heading2"/>
      </w:pPr>
      <w:r>
        <w:t>Regeste</w:t>
      </w:r>
    </w:p>
    <w:p>
      <w:r>
        <w:t>EXÉCUTION DES PEINES ET DES MESURES; LIBÉRATION CONDITIONNELLE | CP.86</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[CPP ; RS 312.0]). La partie qui attaque seulement certaines parties du jugement est tenue d'indiquer dans la déclaration d'appel, de manière définitive, sur quelles parties porte l'appel (art. 399 al. 3 CPP). La Chambre limite son examen aux violations décrites dans l'acte d'appel (art. 404 al. 1 CPP), sauf en cas de décisions illégales ou inéquitables (art. 404 al. 2 CPP).</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w:t>
      </w:r>
    </w:p>
    <w:p>
      <w:r>
        <w:rPr>
          <w:b/>
        </w:rPr>
        <w:t>E. 2.2</w:t>
      </w:r>
    </w:p>
    <w:p>
      <w:r>
        <w:t>Le préavis positif de la direction de Champ-Dollon constitue un élément favorable qui ne saurait à lui seul conduire à l’octroi d’une libération conditionnelle. En effet, ayant été condamné durant une période de quatre ans à réitérées reprises pour des faits similaires à ceux à l'origine de la peine qu'il purge actuellement, l'appelant a manifesté un profond mépris des décisions de justice. Sa récidive pendant une libération conditionnelle témoigne de sa difficulté à se conformer à ses engagements. L'appelant n'a pas respecté la confiance que les autorités compétentes lui ont accordée en 2010. Le risque concret de récidive est ainsi réalisé. Les projets de l'appelant, outre qu'ils ont varié, ne sont ni documentés ni crédibles, dans la mesure où l'interdiction de séjour qui le frappe est valable sur tout l'espace Schengen, et donc aussi en France. Ils ne permettent pas à la Cour de céans de penser que celui-ci ne tombera pas à nouveau dans la délinquance. Le pronostic quant à son comportement futur est clairement défavorable. Au vu de ce qui précède, les conditions d'application de l'art. 86 al. 1 CP ne sont pas remplies, de sorte que le jugement du TAPEM doit être confirmé.</w:t>
      </w:r>
    </w:p>
    <w:p>
      <w:r>
        <w:rPr>
          <w:b/>
        </w:rPr>
        <w:t>E. 3</w:t>
      </w:r>
    </w:p>
    <w:p>
      <w:r>
        <w:t>L'appelant, qui succombe, sera condamné aux frais de la procédure d'appel (art. 428 al. 1 CPP), lesquels comprennent un émolument de CHF 300.-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