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PM/227/2014 vom 25. März 2014</w:t>
      </w:r>
    </w:p>
    <w:p>
      <w:r>
        <w:t>GE Cour de justice, 2014-03-25, FR</w:t>
      </w:r>
    </w:p>
    <w:p>
      <w:r>
        <w:rPr>
          <w:b/>
        </w:rPr>
        <w:t xml:space="preserve">Quelle: </w:t>
      </w:r>
      <w:r>
        <w:t>https://mcp.opencaselaw.ch/entscheid/ge_gerichte_PM_227_2014</w:t>
      </w:r>
    </w:p>
    <w:p>
      <w:r>
        <w:t>FR: GE_GERICHTE PM/227/2014 du 25 mars 2014</w:t>
      </w:r>
    </w:p>
    <w:p>
      <w:r>
        <w:t>IT: GE_GERICHTE PM/227/2014 del 25 marzo 2014</w:t>
      </w:r>
    </w:p>
    <w:p>
      <w:pPr>
        <w:pStyle w:val="Heading2"/>
      </w:pPr>
      <w:r>
        <w:t>Regeste</w:t>
      </w:r>
    </w:p>
    <w:p>
      <w:r>
        <w:t>EXÉCUTION DES PEINES ET DES MESURES; LIBÉRATION CONDITIONNELLE; RISQUE DE RÉCIDIVE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2.3</w:t>
      </w:r>
    </w:p>
    <w:p>
      <w:r>
        <w:t>En l’espèce, la condition objective prévue par l’art. 86 al. 1 CP est réalisée depuis le 15 mars 2014. En ce qui concerne la condition subjective, il est vrai que le projet évoqué par l'appelant, avec assez peu de conviction au demeurant, paraît peu concret et réaliste. Il ne faut cependant pas accorder une portée excessive à ce critère, alors que l'appelant n'a, à ce jour, jamais bénéficié d'une libération conditionnelle et qu'il purgeait effectivement une peine privative de liberté en Suisse pour la première fois. On ne peut par conséquent totalement exclure qu'il tire leçon de cette expérience, étant rappelé que la libération conditionnelle est la règle, son refus l'exception. Il convient par conséquent d'admettre l'appel, l'attention de son auteur étant fermement attirée à l'audience sur les conséquences d'une récidive.</w:t>
      </w:r>
    </w:p>
    <w:p>
      <w:r>
        <w:rPr>
          <w:b/>
        </w:rPr>
        <w:t>E. 3</w:t>
      </w:r>
    </w:p>
    <w:p>
      <w:r>
        <w:t>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