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PM/212/2025 vom 25. März 2025</w:t>
      </w:r>
    </w:p>
    <w:p>
      <w:r>
        <w:t>GE Cour de justice, 2025-03-25, FR</w:t>
      </w:r>
    </w:p>
    <w:p>
      <w:r>
        <w:rPr>
          <w:b/>
        </w:rPr>
        <w:t xml:space="preserve">Quelle: </w:t>
      </w:r>
      <w:r>
        <w:t>https://mcp.opencaselaw.ch/entscheid/ge_gerichte_PM_212_2025</w:t>
      </w:r>
    </w:p>
    <w:p>
      <w:r>
        <w:t>FR: GE_GERICHTE PM/212/2025 du 25 mars 2025</w:t>
      </w:r>
    </w:p>
    <w:p>
      <w:r>
        <w:t>IT: GE_GERICHTE PM/212/2025 del 25 marzo 2025</w:t>
      </w:r>
    </w:p>
    <w:p>
      <w:pPr>
        <w:pStyle w:val="Heading2"/>
      </w:pPr>
      <w:r>
        <w:t>Regeste</w:t>
      </w:r>
    </w:p>
    <w:p>
      <w:r>
        <w:t>LIBÉRATION CONDITIONNELLE;MESURE THÉRAPEUTIQUE INSTITUTIONNELLE;RISQUE DE RÉCIDIVE | CP.62; CP.62d; CP.59</w:t>
      </w:r>
    </w:p>
    <w:p>
      <w:pPr>
        <w:pStyle w:val="Heading2"/>
      </w:pPr>
      <w:r>
        <w:t>Erwägungen</w:t>
      </w:r>
    </w:p>
    <w:p>
      <w:r>
        <w:rPr>
          <w:b/>
        </w:rPr>
        <w:t>E. 1.1</w:t>
      </w:r>
    </w:p>
    <w:p>
      <w:r>
        <w:t>Le recours est recevable pour avoir été déposé selon la forme et dans le délai prescrits (art. 385 al. 1 et 396 al. 1 CPP), concerner une décision judiciaire ultérieure indépendante au sens de l'art. 363 CPP, sujette à recours auprès de la Chambre de céans (art. 393 al. 1 let. b CPP; arrêt du Tribunal fédéral 6B_293/2012 du 21 février 2013 consid. 2) et émaner de la personne condamnée visée par la mesure, qui a qualité pour agir, ayant un intérêt juridiquement protégé à la modification ou à l'annulation de la décision querellée (art. 382 al. 1 CPP).</w:t>
      </w:r>
    </w:p>
    <w:p>
      <w:r>
        <w:rPr>
          <w:b/>
        </w:rPr>
        <w:t>E. 1.2</w:t>
      </w:r>
    </w:p>
    <w:p>
      <w:r>
        <w:t>Les pièces nouvelles sont également recevables (arrêt du Tribunal fédéral 1B_550/2022 du 17 novembre 2022 consid. 2.1). Toutefois, l'objet du litige est circonscrit par la décision querellée, laquelle ne porte pas sur la réintégration de l'intéressé en milieu fermé ordonnée les 29 janvier et 7 février 2024 par le SAPEM, décisions entrées en force. En tant qu'il semble s'en plaindre, cet élément est donc exorbitant à la saisine de la Chambre de céans (art.393 al. 1 let. a CPP). Il n'appartient pas non plus à la Chambre de céans de se prononcer sur l'exécution éventuelle de la peine privative prononcée par ordonnance pénale du 23 mai 2022. Sa conclusion, visant à ce qu'il soit constaté que cette sanction était purgée, est également irrecevable.</w:t>
      </w:r>
    </w:p>
    <w:p>
      <w:r>
        <w:rPr>
          <w:b/>
        </w:rPr>
        <w:t>E. 2</w:t>
      </w:r>
    </w:p>
    <w:p>
      <w:r>
        <w:t>La Chambre pénale de recours peut décider d'emblée de traiter sans échange d'écritures ni débats les recours manifestement mal fondés (art. 390 al. 2 et</w:t>
      </w:r>
    </w:p>
    <w:p>
      <w:r>
        <w:rPr>
          <w:b/>
        </w:rPr>
        <w:t>E. 5</w:t>
      </w:r>
    </w:p>
    <w:p>
      <w:r>
        <w:t>Justifié, le jugement entrepris sera donc confirmé.</w:t>
      </w:r>
    </w:p>
    <w:p>
      <w:r>
        <w:rPr>
          <w:b/>
        </w:rPr>
        <w:t>E. 6</w:t>
      </w:r>
    </w:p>
    <w:p>
      <w:r>
        <w:t>Le recourant, qui succombe, supportera les frais envers l'État, qui comprendront un émolument de CHF 900.- (art. 428 al. 1 CPP et 13 al. 1 du Règlement fixant le tarif des frais en matière pénale, RTFMP; E 4 10.03).</w:t>
      </w:r>
    </w:p>
    <w:p>
      <w:r>
        <w:rPr>
          <w:b/>
        </w:rPr>
        <w:t>E. 7</w:t>
      </w:r>
    </w:p>
    <w:p>
      <w:r>
        <w:t>Le recourant demande l'octroi de l'assistance juridique.</w:t>
      </w:r>
    </w:p>
    <w:p>
      <w:r>
        <w:rPr>
          <w:b/>
        </w:rPr>
        <w:t>E. 7.1</w:t>
      </w:r>
    </w:p>
    <w:p>
      <w:r>
        <w:t>Le droit à l'assistance d'un défenseur d'office est soumis aux conditions cumulatives que le requérant soit indigent, que sa cause ne paraisse pas dépourvue de toute chance de succès et que la sauvegarde de ses intérêts justifie une telle assistance (cf. art. 132 al. 1 let. b et 136 al. 1 et al. 2 let. c CPP; cf. également art. 29 al. 3 Cst.). Selon la jurisprudence, il se justifie en principe de désigner un avocat d'office à l'indigent lorsque la situation juridique de celui-ci est susceptible d'être affectée de manière particulièrement grave. Lorsque, sans être d'une portée aussi capitale, la procédure en question met sérieusement en cause les intérêts de l'indigent, il faut en outre que l'affaire présente des difficultés en fait et en droit que le requérant ou son représentant légal ne peuvent surmonter seuls (arrêt du Tribunal fédéral 1B_180/2018 du 18 juillet 2018 consid. 2.1 et les arrêts cités).</w:t>
      </w:r>
    </w:p>
    <w:p>
      <w:r>
        <w:rPr>
          <w:b/>
        </w:rPr>
        <w:t>E. 7.2</w:t>
      </w:r>
    </w:p>
    <w:p>
      <w:r>
        <w:t>En l'espèce, la condition de l'indigence est acquise. Nonobstant l'issue de la cause, la présente affaire présente des difficultés juridiques propres à justifier l'intervention d'un avocat, compte tenu de l'enjeu et des circonstances particulières pour le recourant. La requête tendant à la désignation d'un avocat d'office sera, partant, admise.</w:t>
      </w:r>
    </w:p>
    <w:p>
      <w:r>
        <w:rPr>
          <w:b/>
        </w:rPr>
        <w:t>E. 7.3</w:t>
      </w:r>
    </w:p>
    <w:p>
      <w:r>
        <w:t>La procédure étant ici close (art. 135 al. 2 CPP), des dépens seront alloués à l'avocat d'office. L'art. 135 al. 1 CPP prévoit que le défenseur d'office est indemnisé conformément au tarif des avocats de la Confédération et du canton for du procès. À Genève, le tarif des avocats est édicté à l'art. 16 RAJ et s'élève à CHF 200.- de l'heure pour un chef d'étude (al. 1 let. c). Selon l'art. 16 al. 2 RAJ, seules les heures nécessaires sont retenues. Elles sont appréciées en fonction notamment de la nature, de l'importance et des difficultés de la cause, de la valeur litigieuse, de la qualité du travail fourni et du résultat obtenu. Les autorités cantonales jouissent d'une importante marge d'appréciation lorsqu'elles fixent, dans la procédure, la rémunération du défenseur d'office (ATF 141 I 124 consid. 3.2 ; arrêt du Tribunal fédéral 6B_856/2014 du 10 juillet 2015 consid. 2.3). En l'espèce, le conseil du recourant a requis une indemnité de CHF 5'350.- correspondant à 11 heures d'activité au tarif horaire de CHF 450.-. Eu égard à l'activité déployée (un recours de 14 pages, page de garde et de conclusions incluses et un chargé de pièces), l'indemnité due sera fixée à CHF 864.80, correspondant à 4h00 d'activité au tarif horaire de CHF 200.-, plus la TVA (8,1%).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