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PM/206/2014 vom 2. April 2014</w:t>
      </w:r>
    </w:p>
    <w:p>
      <w:r>
        <w:t>GE Cour de justice, 2014-04-02, FR</w:t>
      </w:r>
    </w:p>
    <w:p>
      <w:r>
        <w:rPr>
          <w:b/>
        </w:rPr>
        <w:t xml:space="preserve">Quelle: </w:t>
      </w:r>
      <w:r>
        <w:t>https://mcp.opencaselaw.ch/entscheid/ge_gerichte_PM_206_2014</w:t>
      </w:r>
    </w:p>
    <w:p>
      <w:r>
        <w:t>FR: GE_GERICHTE PM/206/2014 du 2 avril 2014</w:t>
      </w:r>
    </w:p>
    <w:p>
      <w:r>
        <w:t>IT: GE_GERICHTE PM/206/2014 del 2 aprile 2014</w:t>
      </w:r>
    </w:p>
    <w:p>
      <w:pPr>
        <w:pStyle w:val="Heading2"/>
      </w:pPr>
      <w:r>
        <w:t>Regeste</w:t>
      </w:r>
    </w:p>
    <w:p>
      <w:r>
        <w:t>EXÉCUTION DES PEINES ET DES MESURES; LIBÉRATION CONDITIONNELLE | CP.86.1; CP.87.2</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w:t>
      </w:r>
    </w:p>
    <w:p>
      <w:r>
        <w:rPr>
          <w:b/>
        </w:rPr>
        <w:t>E. 2.3</w:t>
      </w:r>
    </w:p>
    <w:p>
      <w:r>
        <w:t>En l’espèce, la condition objective prévue par l’art. 86 al. 1 CP sera réalisée le ______2014. Le TAPEM, suite au second préavis défavorable du SAPEM et nonobstant celui favorable du Ministère public, a toutefois refusé la libération conditionnelle de l’appelant, au motif principalement que le risque de réitération était élevé, compte tenu de ses antécédents et des précédentes libérations conditionnelles qui s'étaient soldées par un échec. Le fait que la direction de la Maison de Montfleury ait aussi préavisé positivement la demande de l’appelant constitue un élément favorable qui ne saurait, à lui seul, conduire à l’octroi d’une libération conditionnelle. Il faut cependant concéder à l'appelant qu'il n'a pas récidivé depuis qu'il est entré dans cet établissement le ______ 2013, les faits à l'origine de la condamnation du ______ 2013 étant antérieurs à cette date, et qu'il s'y est très bien comporté si l'on excepte la consommation à une reprise de stupéfiants au début du mois précité, s'étant montré abstinent depuis lors, nonobstant les multiples occasions qu'il aurait pu avoir d'en prendre durant ses nombreuses activités à l'extérieur et ses heures de congé. Il apparaît également manifeste que les antécédents de l'appelant, qui n'impliquent aucune violence envers autrui, sont liés à sa toxicomanie et qu'il fait de gros efforts pour s'en sortir même si ses précédentes tentatives se sont soldées par un échec, ce qui rend le pronostic d'avenir incertain, même si l'intéressé est très motivé par la perspective de devenir père. Sa sortie apparaît bien préparée, puisqu'il bénéficie des soutiens nécessaires tant sur les plans professionnel et social que médical et affectif. A l'instar du Ministère public, la Chambre de céans considère que les chances de réinsertion de l'appelant sont bien meilleures avec une cautèle consistant à prévoir une assistance de probation, mesure à laquelle il se soumet, ayant déjà pris des contacts avec le SPI en vue d'une éventuelle libération conditionnelle, et qui lui permettra de recevoir une aide utile dans la réalisation de ses objectifs, à l'instar de la poursuite de son suivi thérapeutique et de sa soumission à des mesures destinées à prouver son abstinence. Ainsi, il convient de lui accorder la libération conditionnelle avec effet au _____2014, assortie d'une assistance de probation durant le temps du délai d'épreuve (art. 87 al. 1 et 2 CP) et des règles de conduite proposées initialement par le SAPEM. Il convient cependant d'attirer l'attention de l'appelant sur le fait que s'il devait, durant le délai d'épreuve, commettre un nouveau crime ou un délit, se soustraire à l’assistance de probation ou violer les règles de conduite, sa réincarcération pour le solde de sa peine pourra être ordonnée, nonobstant une nouvelle peine ou mesure (art. 89 al. 1 et 3 CP.</w:t>
      </w:r>
    </w:p>
    <w:p>
      <w:r>
        <w:rPr>
          <w:b/>
        </w:rPr>
        <w:t>E. 3</w:t>
      </w:r>
    </w:p>
    <w:p>
      <w:r>
        <w:t>Vu l'issue de l'appel, les frais de la procédure seront laissés à la charge de l'Etat (art. 428 CPP a contrario par analogie).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