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PM/1897/2011 vom 27. Januar 2012</w:t>
      </w:r>
    </w:p>
    <w:p>
      <w:r>
        <w:t>GE Cour de justice, 2012-01-27, FR</w:t>
      </w:r>
    </w:p>
    <w:p>
      <w:r>
        <w:rPr>
          <w:b/>
        </w:rPr>
        <w:t xml:space="preserve">Quelle: </w:t>
      </w:r>
      <w:r>
        <w:t>https://mcp.opencaselaw.ch/entscheid/ge_gerichte_PM_1897_2011</w:t>
      </w:r>
    </w:p>
    <w:p>
      <w:r>
        <w:t>FR: GE_GERICHTE PM/1897/2011 du 27 janvier 2012</w:t>
      </w:r>
    </w:p>
    <w:p>
      <w:r>
        <w:t>IT: GE_GERICHTE PM/1897/2011 del 27 gennaio 2012</w:t>
      </w:r>
    </w:p>
    <w:p>
      <w:pPr>
        <w:pStyle w:val="Heading2"/>
      </w:pPr>
      <w:r>
        <w:t>Regeste</w:t>
      </w:r>
    </w:p>
    <w:p>
      <w:r>
        <w:t>; CONDITION DE RECEVABILITÉ ; APPEL(CPP) ; LIBÉRATION CONDITIONNELLE | CPP.386.2; CPP.399; CP.86.1</w:t>
      </w:r>
    </w:p>
    <w:p>
      <w:pPr>
        <w:pStyle w:val="Heading2"/>
      </w:pPr>
      <w:r>
        <w:t>Erwägungen</w:t>
      </w:r>
    </w:p>
    <w:p>
      <w:r>
        <w:rPr>
          <w:b/>
        </w:rPr>
        <w:t>E. 1.1</w:t>
      </w:r>
    </w:p>
    <w:p>
      <w:r>
        <w:t>L’appel est recevable contre les jugements des tribunaux de première instance qui ont clôt tout ou partie de la procédure (art. 398 al. 1 du Code de procédure pénale du 5 octobre 2007 - CPP - RS 312.0). La Chambre limite son examen aux violations décrites dans l'acte d'appel (art. 404 al. 1 CPP).</w:t>
      </w:r>
    </w:p>
    <w:p>
      <w:r>
        <w:rPr>
          <w:b/>
        </w:rPr>
        <w:t>E. 1.2</w:t>
      </w:r>
    </w:p>
    <w:p>
      <w:r>
        <w:t>Interjeté dans les délais prescrits, le présent appel est recevable (art. 399 CPP), même si les conclusions ne sont pas clairement énoncées. Cependant, au vu de la spécificité de l'acte, la nature de la demande de l'appelant ne prête pas à confusion, rendant superflue la demande de précision prévue à l'art. 400 al. 1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 CP).</w:t>
      </w:r>
    </w:p>
    <w:p>
      <w:r>
        <w:rPr>
          <w:b/>
        </w:rPr>
        <w:t>E. 2.2</w:t>
      </w:r>
    </w:p>
    <w:p>
      <w:r>
        <w:t>En l’espèce, la condition objective prévue par l’art. 86 al. 1 CP est réalisée depuis le 12 janvier 2012. Le fait que la direction de la prison de Champ-Dollon ait émis un préavis positif constitue un élément favorable qui ne saurait à lui seul conduire à l’octroi d’une libération conditionnelle. En effet, l’appelant a été condamné, durant une courte période de trois ans, à dix reprises pour des faits similaires à ceux à l’origine de la peine qu’il purge actuellement. Il a ainsi manifesté un profond mépris des décisions de justice. Il a en sus bénéficié de deux précédentes libérations conditionnelles en 2009 et 2011 qui n'ont exercé aucun effet dissuasif sur ses agissements illicites, montrant ainsi qu’il n’a pas pris conscience de l'illicéité de ses actes. Le risque concret de récidive est ainsi réalisé. Ce risque est d’autant plus important que l’appelant n’a présenté aucun projet concret, ni n’a versé de pièce à la procédure permettant d’étayer ses intentions, telle qu’une attestation de son ami en Belgique. Son projet a, de surcroît, varié durant la procédure, l’appelant ayant finalement abandonné ses projets en Belgique pour privilégier l'Italie où il dit avoir déjà travaillé, sans que des justificatifs ne soient produits. L'appelant ne peut au surplus guère compter sur l'aide de membres de sa famille dans la mesure où il dit être lui-même soutien de ses sœurs. Par conséquent, un pronostic défavorable quant au risque de voir l’appelant récidiver dans ses activités délictueuses doit être posé. Les conditions d’application de l’art. 86 al. 1 CP n’étant pas réalisées, la libération conditionnelle doit être refusée et le jugement entrepris confirmé.</w:t>
      </w:r>
    </w:p>
    <w:p>
      <w:r>
        <w:rPr>
          <w:b/>
        </w:rPr>
        <w:t>E. 3</w:t>
      </w:r>
    </w:p>
    <w:p>
      <w:r>
        <w:t>L'appelant, qui succombe, sera condamné aux frais de la procédure d'appel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