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PM/169/2015 vom 20. April 2015</w:t>
      </w:r>
    </w:p>
    <w:p>
      <w:r>
        <w:t>GE Cour de justice, 2015-04-20, FR</w:t>
      </w:r>
    </w:p>
    <w:p>
      <w:r>
        <w:rPr>
          <w:b/>
        </w:rPr>
        <w:t xml:space="preserve">Quelle: </w:t>
      </w:r>
      <w:r>
        <w:t>https://mcp.opencaselaw.ch/entscheid/ge_gerichte_PM_169_2015</w:t>
      </w:r>
    </w:p>
    <w:p>
      <w:r>
        <w:t>FR: GE_GERICHTE PM/169/2015 du 20 avril 2015</w:t>
      </w:r>
    </w:p>
    <w:p>
      <w:r>
        <w:t>IT: GE_GERICHTE PM/169/2015 del 20 aprile 2015</w:t>
      </w:r>
    </w:p>
    <w:p>
      <w:pPr>
        <w:pStyle w:val="Heading2"/>
      </w:pPr>
      <w:r>
        <w:t>Regeste</w:t>
      </w:r>
    </w:p>
    <w:p>
      <w:r>
        <w:t>LIBÉRATION CONDITIONNELLE; PÉRIODE D'ESSAI; AMENDEMENT(CONDAMNÉ) | CP.86.1; CP.87.1</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2.3</w:t>
      </w:r>
    </w:p>
    <w:p>
      <w:r>
        <w:t>En l’espèce, la condition objective prévue par l’art. 86 al. 1 CP est réalisée depuis le 5 avril 2015, conformément au nouvel avis de détention émis par le SAPEM. Le fait que la Direction de l'Etablissement de La Brenaz ait préavisé positivement la demande de l’appelant constitue un élément favorable qui ne saurait, à lui seul, conduire à l’octroi d’une libération conditionnelle. Même si elle contient des éléments troublants, il convient de faire abstraction de la procédure P/1______ actuellement en cours, sauf à violer la présomption d'innocence, d'autant qu'on ne saurait exclure que le juge du fond puisse, dans l'hypothèse où la culpabilité de l'appelant serait finalement confirmée, révoquer l'éventuelle libération qui lui serait accordée. Les antécédents français de l'appelant sont nombreux, mais pour la plupart relativement anciens, les dernières infractions contre le patrimoine, constitutives de recel, datant de l'automne 2008, et les plus importantes peines prononcées l'ayant été pour des infractions à la législation sur les stupéfiants et la circulation routière, et étant donc sans lien avec les faits à l'origine de la peine qu'il purge actuellement. Ils n'impliquent, au demeurant, aucune violence envers autrui et paraissent liés à la toxicomanie de l'intéressé, lequel a été sevré durant sa détention et semble déterminé à ne plus tomber dans l'engrenage des stupéfiants, même s'il se trouve actuellement en milieu protégé. Même si le pronostic d'avenir reste incertain, la sortie de l'appelant est relativement bien préparée, puisqu'il bénéficie des soutiens nécessaires sur le plan social et affectif et doit se présenter pour un entretien d'embauche, disposant en outre de bons acquis dans le domaine professionnel. Compte tenu de ces éléments, la Chambre de céans considère que les chances de réinsertion de l'appelant sont bien meilleures avec une cautèle consistant à prévoir une assistance de probation, pour autant que son statut administratif en Suisse le permette, qui lui procurerait une aide utile dans la réalisation de ses objectifs, accompagnée d'une mesure destinée à démontrer son abstinence aux stupéfiants. Ainsi, il convient de lui accorder la libération conditionnelle avec effet immédiat, assortie d'une assistance de probation durant le temps du délai d'épreuve (art. 87 al. 1 et 2 CP) et de la règle de conduite précitée. Il convient cependant d'attirer l'attention de l'appelant sur le fait que s'il devait, durant le délai d'épreuve, commettre un nouveau crime ou un délit, se soustraire à l’assistance de probation ou violer la règle de conduite, sa réincarcération pour le solde de sa peine pourra être ordonnée, nonobstant une nouvelle peine ou mesure (art. 89 al. 1 et 3 CP). L'appel doit par conséquent être admis.</w:t>
      </w:r>
    </w:p>
    <w:p>
      <w:r>
        <w:rPr>
          <w:b/>
        </w:rPr>
        <w:t>E. 3</w:t>
      </w:r>
    </w:p>
    <w:p>
      <w:r>
        <w:t>Vu l'issue de l'appel, les frais de la procédure seront laissés à la charge de l'État (art. 428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