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PM/165/2020 vom 25. Februar 2020</w:t>
      </w:r>
    </w:p>
    <w:p>
      <w:r>
        <w:t>GE Cour de justice, 2020-02-25, FR</w:t>
      </w:r>
    </w:p>
    <w:p>
      <w:r>
        <w:rPr>
          <w:b/>
        </w:rPr>
        <w:t xml:space="preserve">Quelle: </w:t>
      </w:r>
      <w:r>
        <w:t>https://mcp.opencaselaw.ch/entscheid/ge_gerichte_PM_165_2020</w:t>
      </w:r>
    </w:p>
    <w:p>
      <w:r>
        <w:t>FR: GE_GERICHTE PM/165/2020 du 25 février 2020</w:t>
      </w:r>
    </w:p>
    <w:p>
      <w:r>
        <w:t>IT: GE_GERICHTE PM/165/2020 del 25 febbraio 2020</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 C. PERRIER DEPEURSINGE (éds), Commentaire romand : Code de procédure pénale suisse , Bâle 2011, n. 30 ad art. 363).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la forme et le délai prescrits (art. 385 al. 1, 390 al. 1 et 396 al. 1 CPP), par le condamné, qui a un intérêt juridiquement protégé à l'annulation ou à la modification de la décision attaquée (art. 382 al. 1 CPP).</w:t>
      </w:r>
    </w:p>
    <w:p>
      <w:r>
        <w:rPr>
          <w:b/>
        </w:rPr>
        <w:t>E. 2</w:t>
      </w:r>
    </w:p>
    <w:p>
      <w:r>
        <w:t>Il résulte implicitement de la lettre du défenseur du recourant du 23 mars 2020 que la tenue de débats n'est plus exigée. Au demeurant, la loi ne la prévoit qu'à titre exceptionnel, la procédure écrite étant de règle (art. 397 al. 1 CPP). La Chambre de céans a d'ailleurs déjà eu l'occasion de juger que, lorsque le recourant a pu s'exprimer sans limitation, par écrit et en dernier lieu, une audience ne se justifie pas, dès lors que son droit d'être entendu a été ainsi respecté ( ACPR/312/2011 du 2 novembre 2011 et ACPR/390/2011 du 21 décembre 2011). C'est d'autant plus vrai en l'espèce que le recourant a pleinement pu bénéficier du concours de son défenseur en instance de recours, quels qu'aient été les aléas involontaires de la procédure de première instance. Aussi la présente décision a-t-elle été adoptée par voie de circulation (art. 390 al. 4 CPP).</w:t>
      </w:r>
    </w:p>
    <w:p>
      <w:r>
        <w:rPr>
          <w:b/>
        </w:rPr>
        <w:t>E. 3</w:t>
      </w:r>
    </w:p>
    <w:p>
      <w:r>
        <w:t>Le recourant conteste le refus de sa demande de libération conditionnelle.</w:t>
      </w:r>
    </w:p>
    <w:p>
      <w:r>
        <w:rPr>
          <w:b/>
        </w:rPr>
        <w:t>E. 3.1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p. 203 s. et les références citées). Par sa nature même, le pronostic ne saurait être tout à fait sûr; force est de se contenter d'une certaine probabilité; un risque de récidive est inhérent à toute libération, conditionnelle ou définitive (ATF 119 IV 5 consid. 1b p. 7).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p. 203 et les références citées). Il y a également lieu de rechercher si la libération conditionnelle, éventuellement assortie de règles de conduite et d'un patronage, ne favoriserait pas mieux la resocialisation de l'auteur que l'exécution complète de la peine (ATF 124 IV 193 consid. 4d/aa/bb p. 198 ss).</w:t>
      </w:r>
    </w:p>
    <w:p>
      <w:r>
        <w:rPr>
          <w:b/>
        </w:rPr>
        <w:t>E. 3.2</w:t>
      </w:r>
    </w:p>
    <w:p>
      <w:r>
        <w:t>En l'espèce, l'appréciation du risque de récidive doit se fonder sur le constat que l'infraction dont le recourant purge la peine est de nature patrimoniale et a été commise sous une forme exempte de violence. Le recourant n'a aucun antécédent en Suisse. Il n'y a donc jamais non plus bénéficié de libération conditionnelle. S'il n'est pas contesté qu'il a été condamné à 24 reprises pour des infractions de même nature à l'étranger, sur une période de plus de 23 ans, dénotant par là un ancrage assez solide dans la délinquance, les détails de ces antécédents, notamment de modus operandi , de durée des condamnations, voire de libérations anticipées, ne sont pas au dossier. Dans ces circonstances, la situation familiale et professionnelle du recourant, qu'il qualifie dorénavant de stable et de confortable, paraît offrir une garantie acceptable. Par ailleurs, la prise de conscience de la faute n'est, peut-être, pas celle qu'ont vue les autorités précédentes. À l'audience du TAPEM, le recourant a essentiellement fustigé l'absence de la victime lors des débats par-devant le TCO, ainsi qu'un " prix " des biens confiés qu'elle aurait " gonflé ". Or, au procès, il avait admis les faits reprochés; l'absence de la victime était avérée; et le tribunal n'a pas tenu pour établi que celle-ci, comme elle l'affirmait, eût en sus confié à celui-là des montres de marque (jugement du 31 octobre 2018, pp. 16-17). Dans ces conditions limite, on peut encore estimer que le pronostic n'est pas défavorable, et que la libération conditionnelle du recourant peut être ordonnée. Comme le Ministère public l'a suggéré à titre subsidiaire, cet allègement prendra effet à la date du renvoi de Suisse de l'intéressé.</w:t>
      </w:r>
    </w:p>
    <w:p>
      <w:r>
        <w:rPr>
          <w:b/>
        </w:rPr>
        <w:t>E. 4</w:t>
      </w:r>
    </w:p>
    <w:p>
      <w:r>
        <w:t>Les frais seront laissés à la charge de l'État.</w:t>
      </w:r>
    </w:p>
    <w:p>
      <w:r>
        <w:rPr>
          <w:b/>
        </w:rPr>
        <w:t>E. 5</w:t>
      </w:r>
    </w:p>
    <w:p>
      <w:r>
        <w:t>Le recourant, qui a gain de cause, chiffre à CHF 2'400.- les 4 heures d'activité de son défenseur pour la procédure de recours. Le tarif revendiqué est toutefois supérieur à celui admis par la Cour pénale, qui est de CHF 450.-/h. au maximum pour un chef d'étude (cf. ACPR/109/2020 du 7 février 2020 et les références). Par ailleurs, l'acte de recours ne comporte aucune motivation juridique particulière, égrenant des considérations générales sur le droit d'être entendu et la pandémie de Covid-19. Une indemnisation arrêtée à CHF 1'800.- apparaît donc largement suffisante. La TVA n'est pas due, en raison du domicile à l'étranger du recourant (ATF 141 IV 344 ).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