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PM/13/2018 vom 18. Mai 2018</w:t>
      </w:r>
    </w:p>
    <w:p>
      <w:r>
        <w:t>GE Cour de justice, 2018-05-18, FR</w:t>
      </w:r>
    </w:p>
    <w:p>
      <w:r>
        <w:rPr>
          <w:b/>
        </w:rPr>
        <w:t xml:space="preserve">Quelle: </w:t>
      </w:r>
      <w:r>
        <w:t>https://mcp.opencaselaw.ch/entscheid/ge_gerichte_PM_13_2018</w:t>
      </w:r>
    </w:p>
    <w:p>
      <w:r>
        <w:t>FR: GE_GERICHTE PM/13/2018 du 18 mai 2018</w:t>
      </w:r>
    </w:p>
    <w:p>
      <w:r>
        <w:t>IT: GE_GERICHTE PM/13/2018 del 18 maggio 2018</w:t>
      </w:r>
    </w:p>
    <w:p>
      <w:pPr>
        <w:pStyle w:val="Heading2"/>
      </w:pPr>
      <w:r>
        <w:t>Regeste</w:t>
      </w:r>
    </w:p>
    <w:p>
      <w:r>
        <w:t>EXÉCUTION DES PEINES ET DES MESURES ; INTERRUPTION ; RISQUE DE FUITE ; JUSTE MOTIF ; CHOIX DU MÉDECIN | CPP.363.al3; CP.92</w:t>
      </w:r>
    </w:p>
    <w:p>
      <w:pPr>
        <w:pStyle w:val="Heading2"/>
      </w:pPr>
      <w:r>
        <w:t>Erwägungen</w:t>
      </w:r>
    </w:p>
    <w:p>
      <w:r>
        <w:rPr>
          <w:b/>
        </w:rPr>
        <w:t>E. 1</w:t>
      </w:r>
    </w:p>
    <w:p>
      <w:r>
        <w:t>Le prononcé d’une interruption d'exécution de peine est une " décision ultérieure administrative " (A. KUHN / Y. JEANNERET (éds), Commentaire romand : Code de procédure pénale suisse , Bâle 2011, n. 12 ad art. 363), qui, conformément à l’art. 363 al. 3 CPP, ne doit pas nécessairement être confiée à un juge, mais que le droit cantonal peut néanmoins placer dans la compétence du juge des sanctions ou de l’application des peines (A. DONATSCH / T. HANSJAKOB / V. LIEBER (éds), Kommentar zur Schweizerischen Strafprozessordnung (StPO ), Zurich 2010, n. 5 ad art. 363 ; ACPR/166/2013 du 23 avril 2013).![endif]&gt;![if&gt;</w:t>
      </w:r>
    </w:p>
    <w:p>
      <w:r>
        <w:rPr>
          <w:b/>
        </w:rPr>
        <w:t>E. 1.1</w:t>
      </w:r>
    </w:p>
    <w:p>
      <w:r>
        <w:t>Il incombe ainsi aux cantons de régler la procédure applicable à cette " autre décision " (art. 363 al. 3 cum art. 439 al. 1 CPP ; ATF 141 IV 187 consid. 1.1 et les références citées, s'agissant de décisions rendues en matière de libération conditionnelle ; A. KUHN / Y. JEANNERET (éds), op. cit. , n. 1 et n. 47 ad art. 364).![endif]&gt;![if&gt; À Genève, cette compétence est attribuée au TAPEM (art. 102 LOJ et art. 3, let. zc, et 41 LaCP), à savoir une autorité judiciaire. La procédure est régie par le CPP, qui s'applique à titre de droit cantonal supplétif, notamment par les art. 363 à 365 CPP et leurs dispositions cantonales d'application (art. 41 al. 2 LaCP et 439 al. 1 CPP).</w:t>
      </w:r>
    </w:p>
    <w:p>
      <w:r>
        <w:rPr>
          <w:b/>
        </w:rPr>
        <w:t>E. 1.2</w:t>
      </w:r>
    </w:p>
    <w:p>
      <w:r>
        <w:t>Pour le surplus, le recours est recevable pour avoir été déposé selon la forme et dans le délai prescrits (art. 385 al. 1 et 396 al. 1 CPP) et émaner du détenu qui, ayant un intérêt juridiquement protégé à la modification ou à l'annulation de la décision querellée, a qualité pour agir (art. 382 al. 1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fait grief au TAPEM d'avoir estimé que les conditions de l'art. 92 CP n'étaient pas réunies en l'espèce. ![endif]&gt;![if&gt;</w:t>
      </w:r>
    </w:p>
    <w:p>
      <w:r>
        <w:rPr>
          <w:b/>
        </w:rPr>
        <w:t>E. 3.1</w:t>
      </w:r>
    </w:p>
    <w:p>
      <w:r>
        <w:t>Selon l'art. 92 CP, l'exécution des peines et des mesures peut être interrompue pour un motif grave.![endif]&gt;![if&gt;</w:t>
      </w:r>
    </w:p>
    <w:p>
      <w:r>
        <w:rPr>
          <w:b/>
        </w:rPr>
        <w:t>E. 3.2</w:t>
      </w:r>
    </w:p>
    <w:p>
      <w:r>
        <w:t>L'application de l'art. 92 CP suppose tout d'abord l'interprétation des termes " motif grave ",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 peut " être interrompue pour un motif grave (arrêt du Tribunal fédéral 6B_504/2013 du 13 septembre 2013 consid. 2.1.1). ![endif]&gt;![if&gt; Seuls sont des motifs pertinents les risques médicaux que la poursuite de l'exécution de la peine ferait courir au condamné. L'art. 92 CP ne posant aucune exigence à ce sujet, l' origine du risque médical invoqué à l'appui d'une demande d'interruption est indifférente (ATF 136 IV 97 consid. 5.1). Quant à la gravité des motifs retenus, elle atteint toujours le degré requis si elle est telle que la poursuite de l'exécution violerait l'interdiction des peines cruelles, inhumaines ou dégradantes, prévue notamment par les art. 10 al. 3 Cst. et 3 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 arrêt du Tribunal fédéral 6B 504/2013 du 13 septembre 2013 consid. 2).</w:t>
      </w:r>
    </w:p>
    <w:p>
      <w:r>
        <w:rPr>
          <w:b/>
        </w:rPr>
        <w:t>E. 3.3</w:t>
      </w:r>
    </w:p>
    <w:p>
      <w:r>
        <w:t>Pour justifier une interruption, l'état de santé du détenu doit être incompatible avec n'importe quelle forme d'exécution de la peine et avec tout aménagement possible dans l'exécution de celle-ci.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suivant le but de celle-ci, il n'y a pas lieu d'en interrompre le cours (arrêts du Tribunal fédéral arrêt 1B_149/2011 du 4 mai 2011 consid. 5.1 et 6A.43/2005 du 19 octobre 2005 consid. 2.1). Tel est notamment le cas lorsque le détenu peut bénéficier d'un placement en clinique, qu'il doit subir une intervention chirurgicale au sein d'un hôpital public, ou encore lorsque les différentes recommandations émises par les médecins peuvent être mises en œuvre à l'intérieur de la prison. Ainsi, même en cas de maladie grave, l'application de l'art. 92 CP n'intervient qu'à titre subsidiaire, lorsque des soins appropriés sont incompatibles avec l'exécution de la peine et le but de celle-ci ou que les diverses formes de détention ne suffisent pas (ATF 136 IV 97 consid. 5.2.1 ; ATF 106 IV 321 consid. 7a).![endif]&gt;![if&gt; Les tendances suicidaires d'un condamné ne peuvent en principe pas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(ATF 108 Ia 69 consid. 2d ; ATF 136 IV 97 consid. 5.1 ; arrêt du Tribunal fédéral 6B_511/2013 du 17 septembre 2013). L'interruption a également été refusée à un condamné qui souffrait de diverses affections complexes et relativement graves, mais qui pouvait bénéficier, en cas de péjoration subite, d'une hospitalisation rapide et adéquate dans le cadre de l'exécution de sa peine (arrêt du Tribunal fédéral 6B_580/2010 du 26 juillet 2010). L'exigence de subsidiarité n'est pas rigide, en ce sens qu'elle doit être nuancée par des critères touchant à la sécurité publique. Ainsi, lorsqu'un condamné a besoin d'une opération chirurgicale donnée, l'interruption pourra lui être accordée – et il pourra être admis en homme libre à l'hôpital – s'il ne présente aucun risque pour la sécurité publique, ni aucun risque de fuite, alors qu'il ne saurait bénéficier d'une interruption s'il est dangereux ou susceptible de se soustraire à la reprise ultérieure de l'exécution. À cet égard, l'attitude du condamné, ainsi que la nécessité de sauvegarder la crédibilité du système pénal, ne sont pas sans pertinence. Dès lors, si un condamné mène une grève de la faim à l'appui de revendications auxquelles il ne peut être donné suite, les lésions que la poursuite de l'exécution de la peine est susceptible de lui causer ne peuvent justifier une application de l'art. 92 CP que s'il est strictement impossible d'empêcher la survenance de celles-là par un traitement médical administré avec toutes les garanties nécessaires dans l'infirmerie d'une prison ou dans le quartier cellulaire d'un hôpital (ATF 136 IV 97 consid. 5.2.1). La question de la proportionnalité ne se pose que s'il apparaît que l'interruption de l'exécution de la peine est admissible au regard de la subsidiarité.</w:t>
      </w:r>
    </w:p>
    <w:p>
      <w:r>
        <w:rPr>
          <w:b/>
        </w:rPr>
        <w:t>E. 3.4</w:t>
      </w:r>
    </w:p>
    <w:p>
      <w:r>
        <w:t>En l'espèce, le recourant demande une interruption de l'exécution de sa peine afin de pouvoir se soigner, subsidiairement, un transfert dans un établissement ouvert afin d'être traité par ses médecins privés habituels. ![endif]&gt;![if&gt; Le recourant souffre d'une hypertension artérielle essentielle sévère, qui, selon son cardiologue, nécessite des contrôles réguliers et un traitement antihypertenseur pour éviter de graves complications. Son affection, probablement en lien avec une situation psychosociale difficile, ne résulte pas de l'exécution de la peine puisqu'elle était déjà présente depuis 2005, avec une aggravation en 2015. Néanmoins, selon le rapport médical du 30 janvier 2018, l'hypertension du recourant ne s'est pas améliorée depuis son incarcération, le traitement proposé a été interrompu car il s'était révélé inefficace et des investigations complémentaires ont été jugées nécessaires. Le recourant présente en outre un diabète non insulinodépendant, une hypercholestérolémie, des épisodes de dyspnée, des cervicobrachialgies persistantes, une sciatalgie, une toux persistante et une dysurie sur l'hypertrophie prostatique. Dans ces circonstances, son état de santé est de toute évidence mauvais. Néanmoins, il n'est pas établi que l'état de santé du recourant soit incompatible avec la détention ou sérieusement mis en danger par celle-ci. En effet, les arguments qu'invoque le recourant s'opposent à l'avis des médecins et ne peuvent donc pas être accueillis. Les contrôles réguliers et le traitement antihypertenseur préconisés par son médecin traitant peuvent lui être prodigués dans le cadre de la détention. Quant aux médecins du SMP, ils recommandent une hospitalisation pour effectuer des examens destinés à optimiser sa prise en charge (mesure tensionnelle sur 24 heures, consultation ophtalmologique, radiologie, IRM, ponctions pulmonaires et consultation en urologie), ainsi que diverses formes de thérapies susceptibles d'améliorer sa condition (cours de relaxation et de gestion du stress, physiothérapie et antalgie). Toutes ces mesures ont concrètement été proposées au recourant, sont accessibles en l'état et donc conciliables avec l'exécution de sa peine. Dans ces conditions, les faits pertinents pour statuer sur la demande du recourant sont suffisamment établis par les pièces médicales figurant au dossier sans qu'il soit nécessaire, ni pertinent, de recourir aux rapports médicaux dont il requiert la production. En effet, le rapport médical de la Dre D______ du 30 janvier 2018 a été rédigé après qu'elle a eu connaissance des résultats de sa prise en charge aux HUG, qui ont été communiqués au recourant lors de sa consultation du 27 novembre 2017. En outre, il ne ressort pas du dossier que le recourant a séjourné une nouvelle fois aux HUG depuis lors. Par conséquent, il n'y a pas lieu de donner suite à sa requête en administration de preuves nouvelles. Ainsi, le seul obstacle à la réalisation des mesures médicales nécessaires réside dans le refus du recourant, qu'il s'agisse des thérapies offertes au sein de la prison ou de son transfert aux HUG. Les raisons avancées à cet égard ne constituent toutefois pas des motifs impératifs empêchant son transport à l'hôpital, la BSA ayant accepté de renoncer à l'usage des entraves pour ses futurs transferts. En outre, il ne ressort pas des pièces médicales figurant au dossier que son état de santé impliquait un maintien en hospitalisation. Le recourant ne démontre pas qu'il serait mal soigné en détention, qu'il n'y bénéficierait pas de soins auxquels il pourrait avoir accès en liberté ou qu'il ne pourrait pas disposer d'une hospitalisation rapide et adéquate si son état venait à se péjorer dans le cadre de l'exécution de sa peine. Il a d'ailleurs pu être admis aux HUG du 14 au 15 novembre 2017. En outre, si une hospitalisation en unité cellulaire hospitalière devait être envisagée à plus long terme, il ne paraît pas exclu que des membres de sa famille qui souhaiteraient le voir puissent être admis à le faire. Quoi qu'il en soit, si le recourant devait persister dans son refus de soins au point que la péjoration de son état de santé, consécutive à ses choix, risque de provoquer une atteinte grave à sa santé, celui-ci pourrait être écarté, le moment venu, par le recours à une hospitalisation d'urgence, compatible avec la poursuite de l'exécution de la peine. En effet, à l'instar d'une alimentation forcée en cas de grève de la faim, un transport en urgence à l'hôpital peut être imposé sans violer l'interdiction des traitements inhumains ou dégradants. Pour le surplus, les médecins du SMP ont discuté de son cas à plusieurs reprises avec une spécialiste des HUG, ainsi qu'avec le cardiologue qui le suivait à l'extérieur. Il a donc été tenu compte de l'avis de ce dernier, nonobstant la détention subie par son patient. Au demeurant, le simple fait d'être privé du libre choix de son médecin pendant l'exécution d'une peine ne constitue pas un traitement inhumain ou dégradant. Ainsi, la prise en considération de l'ensemble de ces éléments, non seulement le diagnostic posé, mais également les besoins médicaux du recourant et la manière dont le système carcéral y répond, de même que la faible portion de peine effectuée, permettent de considérer que, compte tenu notamment de l'intérêt public à préserver la crédibilité du système pénitentiaire, l'effectivité des peines et l'égalité dans la répression, son état de santé n'est pas inconciliable avec l'exécution de la peine.</w:t>
      </w:r>
    </w:p>
    <w:p>
      <w:r>
        <w:rPr>
          <w:b/>
        </w:rPr>
        <w:t>E. 4</w:t>
      </w:r>
    </w:p>
    <w:p>
      <w:r>
        <w:t>Justifiée, la décision attaquée sera donc confirmée.![endif]&gt;![if&gt;</w:t>
      </w:r>
    </w:p>
    <w:p>
      <w:r>
        <w:rPr>
          <w:b/>
        </w:rPr>
        <w:t>E. 5</w:t>
      </w:r>
    </w:p>
    <w:p>
      <w:r>
        <w:t>Le recourant a conclu à l'octroi de l'assistance juridique. ![endif]&gt;![if&gt;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 pris en charge " par l’administration et acquiert ainsi un " statut nouveau ". En exécution des peines, une modification s’opère, dans le sens où l’individu est objet de sujétions et non sujet d’obligations (G. PALUMBO, L’avocat dans l’exécution des peines privatives de liberté: le cas particulier de la procédure disciplinaire , in RPS 132/2014 p. 92ss, pp. 94-95).![endif]&gt;![if&gt;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 ATF 120 Ia 43 consid. 2a).![endif]&gt;![if&gt;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138 III 217 consid. 2.2.4 ; ATF 133 III 614 consid. 5).</w:t>
      </w:r>
    </w:p>
    <w:p>
      <w:r>
        <w:rPr>
          <w:b/>
        </w:rPr>
        <w:t>E. 5.3</w:t>
      </w:r>
    </w:p>
    <w:p>
      <w:r>
        <w:t>Dans le cas présent, le recourant, détenu dans le cadre de l'exécution d'une peine, est vraisemblablement indigent. ![endif]&gt;![if&gt; Au regard de sa situation, des recommandations des médecins, des préavis émis par le Ministère public et le SAPEM, ainsi que de la décision rendue par l'autorité précédente, les chances de succès de son recours étaient très réduites, compte tenu des conditions légales strictes requises pour obtenir l'interruption demandée. Compte tenu de l'état de santé du recourant, qui ne lui permet pas de défendre ses intérêts de manière optimale dans la procédure de recours, qui porte sur un aspect juridique non dépourvu de complexité s'agissant de l'exécution de sa peine, l'assistance juridique lui sera octroyée pour la procédure de recours et l'avocat que le recourant s’est choisi, désigné en qualité de défenseur. Ce dernier n'a pas produit d'état de frais. Compte tenu de l'acte de recours (7 pages), son activité sera indemnisée à hauteur de CHF 700.-, correspondant à une activité de 3h30, dont l'indemnité est calculée au tarif horaire de CHF 200.- (art. 16 al. 1 RAJ), TVA (8 %) en sus.</w:t>
      </w:r>
    </w:p>
    <w:p>
      <w:r>
        <w:rPr>
          <w:b/>
        </w:rPr>
        <w:t>E. 6</w:t>
      </w:r>
    </w:p>
    <w:p>
      <w:r>
        <w:t>Selon la jurisprudence de la Chambre de céans, le CPP s’applique à titre de droit cantonal supplétif en matière de frais ( ACPR/443/2014 du 30 septembre 2014). ![endif]&gt;![if&gt; Partant, le recourant, qui succombe, supportera les frais de la procédure envers l'État (art. 428 al. 1 CPP), y compris un émolument de décision de CHF 500.- (art. 3 cum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