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PM/1300/2018 vom 25. April 2019</w:t>
      </w:r>
    </w:p>
    <w:p>
      <w:r>
        <w:t>GE Cour de justice, 2019-04-25, FR</w:t>
      </w:r>
    </w:p>
    <w:p>
      <w:r>
        <w:rPr>
          <w:b/>
        </w:rPr>
        <w:t xml:space="preserve">Quelle: </w:t>
      </w:r>
      <w:r>
        <w:t>https://mcp.opencaselaw.ch/entscheid/ge_gerichte_PM_1300_2018</w:t>
      </w:r>
    </w:p>
    <w:p>
      <w:r>
        <w:t>FR: GE_GERICHTE PM/1300/2018 du 25 avril 2019</w:t>
      </w:r>
    </w:p>
    <w:p>
      <w:r>
        <w:t>IT: GE_GERICHTE PM/1300/2018 del 25 aprile 2019</w:t>
      </w:r>
    </w:p>
    <w:p>
      <w:pPr>
        <w:pStyle w:val="Heading2"/>
      </w:pPr>
      <w:r>
        <w:t>Regeste</w:t>
      </w:r>
    </w:p>
    <w:p>
      <w:r>
        <w:t>MESURE THÉRAPEUTIQUE INSTITUTIONNELLE ; RISQUE DE RÉCIDIVE ; PROPORTIONNALITÉ ; LIBÉRATION CONDITIONNELLE | CP.56; CP.59; CP.62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TAPEM d'avoir prolongé la mesure institutionnelle alors qu'elle ne serait plus justifiée, respectivement de ne pas avoir ordonné sa libération conditionnelle.</w:t>
      </w:r>
    </w:p>
    <w:p>
      <w:r>
        <w:rPr>
          <w:b/>
        </w:rPr>
        <w:t>E. 3.1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w:t>
      </w:r>
    </w:p>
    <w:p>
      <w:r>
        <w:rPr>
          <w:b/>
        </w:rPr>
        <w:t>E. 3.2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rPr>
          <w:b/>
        </w:rPr>
        <w:t>E. 3.3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l'art. 62c al. 1 let. a CP, la mesure thérapeutique institutionnelle doit être levée si son exécution paraît vouée à l'échec.</w:t>
      </w:r>
    </w:p>
    <w:p>
      <w:r>
        <w:rPr>
          <w:b/>
        </w:rPr>
        <w:t>E. 3.4</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3.5</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3.6</w:t>
      </w:r>
    </w:p>
    <w:p>
      <w:r>
        <w:t>En l'espèce, il résulte du dossier que la mesure institutionnelle actuellement en vigueur est toujours adaptée et nécessaire au recourant. Certes celui-ci a, depuis son dernier examen effectué au début de l'année 2018, fait certains progrès. Son comportement s'est nettement amélioré, il n'a fait l'objet d'aucune sanction disciplinaire depuis le 4 octobre 2016 - à l'exception d'un épisode survenu au mois de mars 2017 - et les trois conduites dont il a bénéficié se sont bien déroulées. Il se conforme à ses traitements psychiatrique, psychothérapeutique et médicamenteux et fait preuve d'abstinence aux toxiques. Nonobstant cette évolution favorable, tant l'expert-psychiatre que les médecins de l'UM______ et de l'UM______ ont relevé que le recourant se considérait guéri, en particulier de ses problèmes d'alcoolisme, surestimait ses capacités à rester abstinent dans un milieu plus ouvert, banalisait les difficultés rencontrées, considérait le risque de récidive comme inexistant et faisait preuve de peu d'implication dans le cadre de sa thérapie, n'y voyant aucune utilité. Il a également été relevé, dans le rapport médical des médecins de l'UM______ du 6 juillet 2018, que le recourant faisait encore preuve d'immaturité et se montrait influençable et très ambivalent s'agissant du traitement médicamenteux, estimant pouvoir s'en passer. Par ailleurs, selon l'expert et la CED, il existe un risque concret que le recourant commette des infractions similaires à celles pour lesquelles il a été condamné, à savoir des atteintes à l'intégrité physique d'autrui. Selon la CED, le recourant - qui a été diagnostiqué souffrant de schizophrénie paranoïde - présente un danger pour la collectivité dans le cadre de l'octroi d'une libération conditionnelle. Compte tenu de l'échec du passage en milieu ouvert en 2014 et au vu du risque élevé de réitération, il apparaît nécessaire que le recourant reprenne contact progressivement avec la liberté, le passage dans un lieu de vie tel qu'un foyer, la reprise de conduites et la mise en place de congés, apparaissant absolument indispensables, afin qu'il prépare de manière concrète et solide son retour à la vie en société. Ainsi, à l'instar des premières juges, il y a lieu d'admettre que le traitement institutionnel doit être poursuivi, un passage en milieu ouvert étant, à ce stade, prématuré.</w:t>
      </w:r>
    </w:p>
    <w:p>
      <w:r>
        <w:rPr>
          <w:b/>
        </w:rPr>
        <w:t>E. 4</w:t>
      </w:r>
    </w:p>
    <w:p>
      <w:r>
        <w:t>Selon le recourant, la prolongation de la mesure après plusieurs années violerait le principe de proportionnalité.</w:t>
      </w:r>
    </w:p>
    <w:p>
      <w:r>
        <w:rPr>
          <w:b/>
        </w:rPr>
        <w:t>E. 4.1</w:t>
      </w:r>
    </w:p>
    <w:p>
      <w:r>
        <w:t>Selon l'art. 56 al. 2 CP, le prononcé d'une mesure suppose que l'atteinte aux droits de la personnalité qui en résulte pour l'auteur ne soit pas disproportionnée au regard de la vraisemblance qu'il commette de nouvelles infractions et de leur gravité (principe constitutionnel de la proportionnalité ; art. 36 al. 3 Cst.). Ce principe vaut tant pour le prononcé d'une mesure que pour son examen postérieur. Cette disposition postule de la sorte la pesée à effectuer entre l'atteinte aux droits inhérente à la mesure ordonnée et la dangerosité de l'auteur.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cette dernière (arrêts du Tribunal fédéral 6B_1160/2013 du 20 février 2014 précité, 6B_826/2013 du 12 décembre 2013 consid. 2.8.1 et 6B_109/2013 du 19 juillet 2013 consid. 4.4).</w:t>
      </w:r>
    </w:p>
    <w:p>
      <w:r>
        <w:rPr>
          <w:b/>
        </w:rPr>
        <w:t>E. 4.2</w:t>
      </w:r>
    </w:p>
    <w:p>
      <w:r>
        <w:t>En l'occurrence, si certes une évolution favorable a été constatée, il apparaît que seule une mesure thérapeutique institutionnelle en milieu fermé permettrait à ce stade d'assurer l'adhésion du recourant au traitement et de le soigner. Les quelques progrès obtenus l'ont précisément été du fait de l'existence d'un cadre, que seule la mesure institutionnelle en milieu fermé peut apporter. Il ressort, en effet, du dossier que le recourant a tendance à minimiser ses difficultés à contrôler ses consommations d'alcool et de toxiques et surestime ses capacités à demeurer abstinent dans un milieu plus ouvert, pensant être à l'abri d'une rechute et considérant le risque de récidive comme inexistant. Il ressort en outre du rapport médical du 14 novembre 2018 qu'il se montre très passif s'agissant de la médication et qu'il n'a pas la même perception que les soignants des conséquences d'une modification de dosage. La CED a de surcroît relevé qu'en cas de libération conditionnelle, il était hautement probable que le recourant se retrouverait seul et sans facteurs protecteurs, de sorte qu'il était indispensable, avant d'envisager une telle libération, qu'il montre une évolution plus notable. La durée de la mesure est certes relativement longue, par rapport à la peine que le recourant aurait encourue du fait des infractions retenues. Toutefois, le temps écoulé depuis le prononcé de celle-ci ne suffit pas à lui seul pour retenir qu'elle serait disproportionnée. Un traitement institutionnel doit permettre que son but soit atteint, tant que sa poursuite ne paraît pas vouée à l'échec. Les traitements sur une longue durée sont propres au type de pathologie dont souffre le recourant (schizophrénie paranoïde) et c'est au regard de ces considérations que la loi n'a pas fixé de limite maximale à la prolongation des traitements institutionnels. En l'espèce, il a été retenu que le recourant avait poursuivi une évolution favorable. Une légère amélioration de sa capacité introspective ainsi que la disparition des symptômes actifs de la schizophrénie paranoïde et une diminution notable de l'impulsivité décrite autrefois, ont été constatées. Il a cependant été relevé que le recourant se considérait désormais guéri et peinait à envisager une médication sur le long terme. Le risque de récidive pour des actes violents était ainsi d'un niveau faible à modéré, dans la perspective des conduites institutionnelles. La poursuite du travail psychothérapeutique et le développement d'un réseau prosocial étaient dès lors préconisés. L'amélioration de son état de santé, compte tenu de sa pathologie, ne peut ainsi être obtenue que par un traitement de longue haleine, qui comporte plusieurs phases. L'exécution de sa mesure doit suivre une progression réaliste, le placement dans un foyer représentant une étape incontournable pour lui permettre de consolider sa bonne évolution. À cet égard, et à la suite des premiers juges, le SAPEM est invité à poursuivre de manière intensive les démarches pour trouver dans un délai raisonnable un lieu de placement adapté au recourant. Compte tenu de sa dangerosité pour autrui, des perspectives de stabilisation et d'amélioration de son état de santé, la gravité de l'atteinte aux droits de sa personnalité qu'implique la poursuite du traitement institutionnel en vigueur depuis le 18 octobre 2015 n'apparaît pas disproportionnée par rapport à l'intérêt public à la prévention de la commission de nouvelles infractions. Ce grief sera par conséquent également rejeté.</w:t>
      </w:r>
    </w:p>
    <w:p>
      <w:r>
        <w:rPr>
          <w:b/>
        </w:rPr>
        <w:t>E. 5</w:t>
      </w:r>
    </w:p>
    <w:p>
      <w:r>
        <w:t>Justifiée, la décision querellée sera donc confirmée.</w:t>
      </w:r>
    </w:p>
    <w:p>
      <w:r>
        <w:rPr>
          <w:b/>
        </w:rPr>
        <w:t>E. 6</w:t>
      </w:r>
    </w:p>
    <w:p>
      <w:r>
        <w:t>Le recourant, qui succombe, supportera les frais envers l'État, qui comprendront un émolument de CHF 800.- (art. 428 al. 1 CPP et 13 al. 1 du Règlement fixant le tarif des frais en matière pénale, RTFMP ; E 4 10.03).</w:t>
      </w:r>
    </w:p>
    <w:p>
      <w:r>
        <w:rPr>
          <w:b/>
        </w:rPr>
        <w:t>E. 7</w:t>
      </w:r>
    </w:p>
    <w:p>
      <w:r>
        <w:t>La procédure cantonale s'achevant au fond et le recourant étant assisté d'un avocat d'office, il convient d'indemniser ce dernier, en application de l'art. 135 al. 2 CPP, pour la procédure de recours uniquement.</w:t>
      </w:r>
    </w:p>
    <w:p>
      <w:r>
        <w:rPr>
          <w:b/>
        </w:rPr>
        <w:t>E. 7.1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l'espèce, le conseil du recourant sollicite une indemnisation à hauteur de CHF 1'400.- pour son activité globale, à laquelle s'ajoute le forfait de 20% et la TVA (7,7%). Ce montant apparaît adéquat. En revanche, le forfait courrier/téléphone ne sera pas retenu, faute de pertinence pour la procédure de recours. La rémunération du défenseur du recourant sera, partant arrêtée, à CHF 1'400.- plus la TVA (7,7%), soit un total de CHF 1'507.80.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