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PM/1292/2020 vom 22. Januar 2021</w:t>
      </w:r>
    </w:p>
    <w:p>
      <w:r>
        <w:t>GE Cour de justice, 2021-01-22, FR</w:t>
      </w:r>
    </w:p>
    <w:p>
      <w:r>
        <w:rPr>
          <w:b/>
        </w:rPr>
        <w:t xml:space="preserve">Quelle: </w:t>
      </w:r>
      <w:r>
        <w:t>https://mcp.opencaselaw.ch/entscheid/ge_gerichte_PM_1292_2020</w:t>
      </w:r>
    </w:p>
    <w:p>
      <w:r>
        <w:t>FR: GE_GERICHTE PM/1292/2020 du 22 janvier 2021</w:t>
      </w:r>
    </w:p>
    <w:p>
      <w:r>
        <w:t>IT: GE_GERICHTE PM/1292/2020 del 22 gennaio 2021</w:t>
      </w:r>
    </w:p>
    <w:p>
      <w:pPr>
        <w:pStyle w:val="Heading2"/>
      </w:pPr>
      <w:r>
        <w:t>Regeste</w:t>
      </w:r>
    </w:p>
    <w:p>
      <w:r>
        <w:t>RESTITUTION DU DÉLAI;LIBÉRATION CONDITIONNELLE | CPP.94; CP.86</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 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 C. PERRIER DEPEURSINGE (éds), Commentaire romand : Code de procédure pénale suisse , 2ème éd., Bâle 2019, n. 30 ad art. 363). Le recours au sens de l'art. 393 CPP est la voie de droit ouverte contre les prononcés rendus par le TAPEM en matière de libération conditionnelle (art. 42 al. 1 let. b LaCP cum ATF 141 IV 187 consid. 1.1 et les références citées).</w:t>
      </w:r>
    </w:p>
    <w:p>
      <w:r>
        <w:rPr>
          <w:b/>
        </w:rPr>
        <w:t>E. 2.2</w:t>
      </w:r>
    </w:p>
    <w:p>
      <w:r>
        <w:t>La procédure devant la Chambre de céans est régie par le CPP, applicable au titre de droit cantonal supplétif (art. 42 al. 2 LaCP).</w:t>
      </w:r>
    </w:p>
    <w:p>
      <w:r>
        <w:rPr>
          <w:b/>
        </w:rPr>
        <w:t>E. 2.3</w:t>
      </w:r>
    </w:p>
    <w:p>
      <w:r>
        <w:t>En l'espèce, le recours a été déposé selon la forme prescrite (art. 385 al. 1, 390 al. 1 et 396 al. 1 CPP) par le condamné, qui a un intérêt juridiquement protégé à l'annulation ou à la modification de la décision attaquée (art. 382 al. 1 CPP). 2.4.1. Le recours ayant été déposé tardivement, le recourant sollicite la restitution du délai de recours. 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 ACPR/196/2014 du 8 avril 2014). Ces principes s'appliquent au stade de l'audience d'appel (en relation avec l'art. 407 al. 1 let. a CPP: arrêt du Tribunal fédéral 6B_37/2012 du 1er novembre 2012 consid. 3) et devant le tribunal de première instance (en relation avec l'art. 356 al. 4 CPP : arrêt du Tribunal fédéral 6B_289/2013 du 6 mai 2014 consid. 11.3). Il n'y a pas lieu de s'en écarter pour la procédure de recours, car l'art. 94 CPP est une règle générale de procédure (cf. l'intitulé du chapitre sous lequel la disposition est rangée), qui s'applique ici aussi (art. 379 CPP). 2.4.2. En l'espèce, force est de constater que la jurisprudence du Tribunal fédéral, selon laquelle le délai de recours est réputé observé si l'acte de procédure est remis au plus tard le dernier jour du délai à la direction de l'établissement carcéral (arrêt du Tribunal fédéral 6B_304/2016 du 23 mars 2017 consid. 3.1), et à laquelle le recourant se réfère ne trouve pas d'application, le courrier du recourant n'étant pas un recours à l'attention de la Chambre de céans, mais un courrier à son avocat. On ne se trouve ainsi pas dans un cas d'empêchement à agir; le recourant aurait pu se renseigner auprès du greffe de la prison sur les conditions d'acheminement du courrier et répondre plus rapidement à son conseil; ce dernier aurait pu appeler son client ou se rendre à B______ pour obtenir des instructions lui permettant d'agir dans le délai de recours; aucune explication n'est fournie sur ces points. Le recours est dès lors irrecevable et le délai pour recourir n'est pas restitué.</w:t>
      </w:r>
    </w:p>
    <w:p>
      <w:r>
        <w:rPr>
          <w:b/>
        </w:rPr>
        <w:t>E. 3</w:t>
      </w:r>
    </w:p>
    <w:p>
      <w:r>
        <w:t>Devrait-on restituer le délai, le recours n'en serait pas moins infondé.</w:t>
      </w:r>
    </w:p>
    <w:p>
      <w:r>
        <w:rPr>
          <w:b/>
        </w:rPr>
        <w:t>E. 4</w:t>
      </w:r>
    </w:p>
    <w:p>
      <w:r>
        <w:t>Dans son courrier spontané, le recourant conclut à ce que la Chambre de céans tienne une audience. Ce faisant, il prend des conclusions nouvelles, qui sont irrecevables, sauf à accorder à l'intéressé une prolongation du délai de recours, ce que la loi ne permet pas (art. 396 al. 1 et 89 al. 1 CPP). Il est, en effet, communément admis en procédure que la motivation d'un recours doit être entièrement contenue dans l'acte de recours lui-même; elle ne saurait dès lors être complétée ou corrigée ultérieurement (ATF 134 II 244 consid. 2.4.2 et 2.4.3 p. 247; arrêt du Tribunal fédéral 4A_659/2011 du 7 décembre 2010 consid. 5 publié in SJ 2012 I 231; A. KUHN / Y. JEANNERET / C. PERRIER DEPEURSINGE (éds), Commentaire romand : Code de procédure pénale suisse , Bâle 2019, n. 3 ad art. 385).</w:t>
      </w:r>
    </w:p>
    <w:p>
      <w:r>
        <w:rPr>
          <w:b/>
        </w:rPr>
        <w:t>E. 5.1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constitue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5.2</w:t>
      </w:r>
    </w:p>
    <w:p>
      <w:r>
        <w:t>En l'espèce, la condition objective d'une libération conditionnelle est, certes, réalisée depuis le 28 décembre 2020. Le recourant ne bénéficie cependant pas de préavis positif, hormis celui de l'établissement pénitentiaire. Ce dernier, seul, ne suffit pas. Le recourant a déjà été condamné à onze reprises, pour des infractions analogues et en particulier pour des infractions contre le patrimoine, l'intégrité physique, la LStup et la LArm. Ce tableau rend le risque de réitération important en termes de sécurité publique. Le risque de réitération est d'autant plus important que le recourant ne fait état d'aucun projet à sa sortie. C'est ainsi à bon droit que le TAPEM a retenu que les conditions de l'art. 86 al. 1 CP ne sont pas réalisées, le pronostic étant défavorable quant au risque de récidive.</w:t>
      </w:r>
    </w:p>
    <w:p>
      <w:r>
        <w:rPr>
          <w:b/>
        </w:rPr>
        <w:t>E. 6</w:t>
      </w:r>
    </w:p>
    <w:p>
      <w:r>
        <w:t>Le recourant, qui succombe, supportera les frais envers l'État, qui seront fixés en totalité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