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PM/1197/2012 vom 17. Januar 2013</w:t>
      </w:r>
    </w:p>
    <w:p>
      <w:r>
        <w:t>GE Cour de justice, 2013-01-17, FR</w:t>
      </w:r>
    </w:p>
    <w:p>
      <w:r>
        <w:rPr>
          <w:b/>
        </w:rPr>
        <w:t xml:space="preserve">Quelle: </w:t>
      </w:r>
      <w:r>
        <w:t>https://mcp.opencaselaw.ch/entscheid/ge_gerichte_PM_1197_2012</w:t>
      </w:r>
    </w:p>
    <w:p>
      <w:r>
        <w:t>FR: GE_GERICHTE PM/1197/2012 du 17 janvier 2013</w:t>
      </w:r>
    </w:p>
    <w:p>
      <w:r>
        <w:t>IT: GE_GERICHTE PM/1197/2012 del 17 gennaio 2013</w:t>
      </w:r>
    </w:p>
    <w:p>
      <w:pPr>
        <w:pStyle w:val="Heading2"/>
      </w:pPr>
      <w:r>
        <w:t>Regeste</w:t>
      </w:r>
    </w:p>
    <w:p>
      <w:r>
        <w:t>; EXÉCUTION DES PEINES ET DES MESURES ; LIBÉRATION CONDITIONNELLE | CP.86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rPr>
          <w:b/>
        </w:rPr>
        <w:t>E. 2.1</w:t>
      </w:r>
    </w:p>
    <w:p>
      <w:r>
        <w:t>A teneur de l'article 86 al. 1 du Code pénal suisse du 21 décembre 1037 (CP ; RS 311.0), l'autorité compétente libère conditionnellement le détenu qui a subi les deux tiers de sa peine, si son comportement durant l'exécution de la peine ne s'y oppose pas, et s'il n'y a pas lieu de craindre qu'il ne commette de nouveaux crimes ou de nouveaux délits.</w:t>
      </w:r>
    </w:p>
    <w:p>
      <w:r>
        <w:rPr>
          <w:b/>
        </w:rPr>
        <w:t>E. 2.2</w:t>
      </w:r>
    </w:p>
    <w:p>
      <w:r>
        <w:t>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(NIGGLI/WIPRÄCHTIGER, Basler Kommentar, Strafrecht I , Bâle 2007, n°5 ad. Art. 86). En ce qui concerne la possibilité d'émettre un pronostic favorable, celle-ci était déjà exigée par l'article 38 ch. 1 al. 1 aCP, de sorte que la jurisprudence y relative conserve son actualité (ATF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Schweizerisches Strafgesetzbuch : Praxiskommentar , Zurich, 2008,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à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sa peine (A. KUHN / L. MOREILLON / B. VIREDAZ / A. BISCHOFSKY, op. cit. , Berne, 2006, p. 361).</w:t>
      </w:r>
    </w:p>
    <w:p>
      <w:r>
        <w:rPr>
          <w:b/>
        </w:rPr>
        <w:t>E. 2.3</w:t>
      </w:r>
    </w:p>
    <w:p>
      <w:r>
        <w:t>. En l'espèce, la condition objective prévue à l'art. 86 al. 1 CP sera réalisée le 19 janvier 2013, date à laquelle il aura subi les deux tiers de la peine qu'il exécute actuellement. Le pronostic est clairement défavorable, vu les éléments résultant du dossier et de l'audition de l'appelant. Celui-ci est ancré dans la petite criminalité, au vu de ses antécédents et n'a pas été capable de se montrer digne de la confiance placée en lui lors de l'octroi de la précédente libération conditionnelle. De plus, son comportement en prison dénote également une absence d'intérêt pour le travail et l'incapacité de se plier aux règles de l'établissement, de sorte qu'il est difficile de croire que la dernière détention aurait été l'occasion d'une prise de conscience. Les variations dans les déclarations de l'appelant s'agissant de ses projets futurs leur enlèvent toute crédibilité, d'où un risque concret de récidive, en l'absence de toute possibilité de réinsertion. C'est ainsi à juste titre que le premier juge a refusé la libération conditionnelle.</w:t>
      </w:r>
    </w:p>
    <w:p>
      <w:r>
        <w:rPr>
          <w:b/>
        </w:rPr>
        <w:t>E. 3</w:t>
      </w:r>
    </w:p>
    <w:p>
      <w:r>
        <w:t>L'appelant qui succombe, supportera les frais de la procédure envers l'Etat (art. 428 CPP), comprenant un émolument de CHF 300.-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