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PM/118/2020 vom 5. März 2020</w:t>
      </w:r>
    </w:p>
    <w:p>
      <w:r>
        <w:t>GE Cour de justice, 2020-03-05, FR</w:t>
      </w:r>
    </w:p>
    <w:p>
      <w:r>
        <w:rPr>
          <w:b/>
        </w:rPr>
        <w:t xml:space="preserve">Quelle: </w:t>
      </w:r>
      <w:r>
        <w:t>https://mcp.opencaselaw.ch/entscheid/ge_gerichte_PM_118_2020</w:t>
      </w:r>
    </w:p>
    <w:p>
      <w:r>
        <w:t>FR: GE_GERICHTE PM/118/2020 du 5 mars 2020</w:t>
      </w:r>
    </w:p>
    <w:p>
      <w:r>
        <w:t>IT: GE_GERICHTE PM/118/2020 del 5 marzo 2020</w:t>
      </w:r>
    </w:p>
    <w:p>
      <w:pPr>
        <w:pStyle w:val="Heading2"/>
      </w:pPr>
      <w:r>
        <w:t>Regeste</w:t>
      </w:r>
    </w:p>
    <w:p>
      <w:r>
        <w:t>BRIGANDAGE;LIBÉRATION CONDITIONNELLE | CP.86; CP.140</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1B_158/2013 du 25 avril 2013 consid. 2.1. ; A. KUHN / Y. JEANNERET (éds), Commentaire romand : Code de procédure pénale suisse , Bâle 2011,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3.2</w:t>
      </w:r>
    </w:p>
    <w:p>
      <w:r>
        <w:t>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w:t>
      </w:r>
    </w:p>
    <w:p>
      <w:r>
        <w:rPr>
          <w:b/>
        </w:rPr>
        <w:t>E. 3.3</w:t>
      </w:r>
    </w:p>
    <w:p>
      <w:r>
        <w:t>Il convient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 2e éd., Bâle 2017, n. 8 ad art. 86 CP).</w:t>
      </w:r>
    </w:p>
    <w:p>
      <w:r>
        <w:rPr>
          <w:b/>
        </w:rPr>
        <w:t>E. 3.4</w:t>
      </w:r>
    </w:p>
    <w:p>
      <w:r>
        <w:t>L'allégation de l'absence d'un risque de réitération sur le territoire national en cas de retour à l'étranger ne saurait être un motif d'octroi de la libération conditionnelle, le juge suisse ne pouvant s'accommoder d'un tel risque à l'étranger ( AARP/381/2016 du 19 septembre 2016 consid. 2.3; AARP/536/2015 du 8 décembre 2015 consid. 2.3).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 Berne 2008, p. 269 ;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 S'il est vrai que l'on peut difficilement exiger d'une personne que la détention a coupé du monde professionnel qu'elle donne des assurances quant à son activité à sa sortie de prison, surtout encore dans un pays étranger, on peut néanmoins attendre d'elle qu'elle fournisse quelques indications sur la manière dont elle envisage sa réinsertion sur ce plan (cf. arrêt du 21 mars 2003 du Tribunal fédéral, 6A.95/2002 , consid. 2.2).</w:t>
      </w:r>
    </w:p>
    <w:p>
      <w:r>
        <w:rPr>
          <w:b/>
        </w:rPr>
        <w:t>E. 3.5</w:t>
      </w:r>
    </w:p>
    <w:p>
      <w:r>
        <w:t>En l'espèce, la condition objective d'une libération conditionnelle est réalisée depuis le 17 février 2020 et le recourant bénéficie de préavis positifs de l'établissement de détention et du SAPEM, qui ne suffisent toutefois pas, à eux seuls, à remplir les conditions de l'art. 86 CP. Il est incontestable que le recourant présente, en raison de son parcours, un risque de récidive important. Il a été condamné à de nombreuses reprises. La libération conditionnelle dont il a bénéficié en juillet 2009 a été révoquée, le recourant ayant récidivé la semaine suivante. Les deux refus subséquents de libération conditionnelle, en 2010 et 2011, n'ont eu aucun impact. Au moment de son incarcération, en 2012, pour la peine qu'il purge actuellement, il était ainsi ancré dans la délinquance, allant même, en dernier lieu, jusqu'à faire preuve d'une grande violence pour se procurer de l'argent. En 2013, l'expert psychiatre a retenu un risque de récidive pour des infractions similaires. Détenu désormais depuis huit ans, le recourant n'a, à teneur des éléments au dossier, modifié son comportement que depuis début 2019, soit très récemment. Il consulte désormais une psychiatre et a commencé à rembourser les victimes. Son abstinence à l'alcool paraît solide, mais sa consommation de cannabis était encore courante en 2018, puisque les analyses du THC se sont révélées positives durant plusieurs mois en 2019. Le processus de renoncement aux benzodiazépines est toujours en cours. Ainsi, si l'évolution favorable récente du recourant peut être saluée, elle ne permet pas de poser un pronostic favorable, en l'absence d'un projet de réinsertion solide, condition indispensable permettant de garantir que le recourant ne se retrouverait pas dans une situation précaire et désoeuvré à sa sortie de prison. En l'occurrence, le projet de vie du recourant consiste en l'ouverture d'un atelier de couture au Maroc. Si le recourant semble avoir indéniablement les compétences et qu'il pourrait, semble-t-il, obtenir à tout le moins un laisser-passer pour rejoindre son pays d'origine, force est de constater que les documents qu'il a produits ne permettent pas de corroborer avec suffisamment de sérieux la solidité du projet. L'aide financière du SSI ayant été refusée, le recourant allègue vouloir financer l'achat du matériel nécessaire à l'aide de ses avoirs personnels à concurrence de CHF 4'500.- - résultant de son travail en prison -, ainsi que d'un prêt de CHF 10'000.- au total par son oncle et sa soeur. Or, celle-ci s'est bornée, dans l'attestation produite, à confirmer qu'elle était prête à " coopérer pour l'aider ", ce qui ne sous-tend nullement l'octroi d'une aide financière, ni, a fortiori , un prêt portant sur la somme non négligeable de CHF 5'000.-. Aucun élément au dossier ne permet non plus de confirmer que E______ serait " coutière de profession à G______ (Maroc) ", et, à ce titre, en mesure de l'aider au démarrage de son entreprise. L'oncle du recourant n'a pas non plus manifesté son accord avec le montant du prêt - CHF 5'000.- - envisagé par le précité. Le fait que A______ entend quitter la Suisse ne dispense pas la Chambre de céans d'évaluer le risque de récidive, à l'aune de son parcours carcéral et du projet de vie qu'il entend développer dans son pays d'origine, seule garantie de réinsertion. Or, le recourant n'a modifié son comportement en prison que très récemment et le dossier qu'il a présenté n'est, en l'état, pas suffisamment étayé - alors qu'il aurait pu l'être -, de sorte que, compte tenu de l'important risque de réitération et du pronostic très défavorable, les conditions à sa libération conditionnelle ne sont en l'état pas remplies. C'est donc à bon droit que les premiers juges ont retenu que la libération conditionnelle était prématurée.</w:t>
      </w:r>
    </w:p>
    <w:p>
      <w:r>
        <w:rPr>
          <w:b/>
        </w:rPr>
        <w:t>E. 4</w:t>
      </w:r>
    </w:p>
    <w:p>
      <w:r>
        <w:t>Justifiée, le jugement querellé sera donc confirmé.</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Nommé d'office dans la présente procédure par le TAPEM, le conseil du recourant a droit à une indemnité pour la procédure de recours (art. 135 al. 2 CPP). En l'absence d'état de frais, l'indemnité sera fixée à CHF 1'077.- (TVA à 7.7 % comprise), correspondant à 5 heures d'activité au tarif horaire de chef d'étude selon l'art. 16 al. 1 let. c RAJ, pour la rédaction d'un recours de 16 pages (pages de garde et de conclusion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