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PM/1163/2014 vom 19. Januar 2015</w:t>
      </w:r>
    </w:p>
    <w:p>
      <w:r>
        <w:t>GE Cour de justice, 2015-01-19, FR</w:t>
      </w:r>
    </w:p>
    <w:p>
      <w:r>
        <w:rPr>
          <w:b/>
        </w:rPr>
        <w:t xml:space="preserve">Quelle: </w:t>
      </w:r>
      <w:r>
        <w:t>https://mcp.opencaselaw.ch/entscheid/ge_gerichte_PM_1163_2014</w:t>
      </w:r>
    </w:p>
    <w:p>
      <w:r>
        <w:t>FR: GE_GERICHTE PM/1163/2014 du 19 janvier 2015</w:t>
      </w:r>
    </w:p>
    <w:p>
      <w:r>
        <w:t>IT: GE_GERICHTE PM/1163/2014 del 19 gennaio 2015</w:t>
      </w:r>
    </w:p>
    <w:p>
      <w:pPr>
        <w:pStyle w:val="Heading2"/>
      </w:pPr>
      <w:r>
        <w:t>Regeste</w:t>
      </w:r>
    </w:p>
    <w:p>
      <w:r>
        <w:t>LIBÉRATION CONDITIONNELLE; DEMANDE ADRESSÉE À L'AUTORITÉ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 ibidem).</w:t>
      </w:r>
    </w:p>
    <w:p>
      <w:r>
        <w:rPr>
          <w:b/>
        </w:rPr>
        <w:t>E. 2.2</w:t>
      </w:r>
    </w:p>
    <w:p>
      <w:r>
        <w:t>En l'espèce, la condition objective à l'octroi de la libération conditionnelle est réalisée. S'agissant de la condition subjective, force est de constater qu'elle ne l'est plus. Si les préavis de la prison de Champ-Dollon, du SAPEM et du Ministère public étaient positifs avant que le TAPEM ne statue, force est de constater que le comportement de l'intimé pose problème depuis lors, et même auparavant, ce dont cette instance n'avait toutefois pas connaissance au moment de statuer. Il apparait ainsi que l'intimé a violé à plusieurs reprises le régime de détention prévalant dans l'établissement du Valllon, franchissant par trois fois au minimum la frontière pour se rendre en France, alors qu'il n'en avait pas le droit. Surtout, il n'est plus revenu de son congé du 15 décembre 2014, alors même qu'il savait que le TAPEM avait ordonné sa libération conditionnelle pour le 21 janvier 2015, ce qui ressort clairement du jugement qui lui a été notifié par courrier recommandé le 10 décembre 2014. Il ne se montre ainsi pas digne de la confiance placée en lui par les juges de première instance. Ces prises de liberté, constituant autant de violations de régime de détention, démontrent que l'intimé est loin d'avoir compris le sens de la sanction et la chance qui lui était donnée, par une ouverture progressive de son régime, puis par une libération conditionnelle intervenant 1 an et 2 mois avant le terme de sa peine, de se comporter de manière confirme à l'ordre juridique suisse. Un tel comportement laisse augurer que si dans un premier temps le projet de l'intimé serait bien de rentrer en ______, il est fort à craindre qu'il ne revienne très rapidement en Suisse pour s'en prendre à nouveau au patrimoine d'autrui. Cette crainte est accrue par le projet hasardeux et non étayé articulé par l'intimé de reprendre l'exploitation d'un garage chez lui dont il est démontré qu'elle ne lui a jusque-là pas permis de subvenir à ses besoins et à ceux de sa famille. Face au comportement adopté par l'intimé depuis au plus tard cet automne, le pronostic est clairement défavorable de sorte que la libération conditionnelle doit lui être refusée. L'appel sera donc admis.</w:t>
      </w:r>
    </w:p>
    <w:p>
      <w:r>
        <w:rPr>
          <w:b/>
        </w:rPr>
        <w:t>E. 3</w:t>
      </w:r>
    </w:p>
    <w:p>
      <w:r>
        <w:t>Vu la qualité de l'appelant et le fait qu'il obtient gain de cause, les frais de la procédure d'appel seront laissés à la charge de l'Etat (art. 428 CPP).![endif]&gt;![if&gt;</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![endif]&gt;![if&gt; Au regard de ce qui précède, la CPAR est compétente, au sens de l'art. 135 al. 2 CPP, pour statuer sur l'activité postérieure à sa saisine, le 19 décembre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4.3</w:t>
      </w:r>
    </w:p>
    <w:p>
      <w:r>
        <w:t>Me B______ a été désigné défenseur d'office de l'intimé le 22 décembre 2014 . Il a déposé une demande d'indemnisation par devant la CPAR le 12 janvier 2015. S'agissant de l'activité déployée devant la juridiction d'appel, ledit état de frais est composé de 6h30' d'activité de chef d'étude, non comprise l'audience du 12 janvier 2015. Les postes "lecture du dossier" et "rédaction d'une plaidoirie", pour un total de 5h sont excessifs au regard du volume de la procédure et de sa toute relative difficulté. Ces postes peuvent par ailleurs se confondre avec le poste "préparation audience de jugement". C'est dès lors une durée de totale de 4h30' qui sera concédée pour ces trois postes à laquelle s'ajouteront 30' minutes pour l'audience devant la CPAR. Par conséquent, l'état de frais sera admis à concurrence de 5h d'activité de chef d'étude, ce qui correspond à une indemnité de base de CHF 1'000.-. Il convient d'ajouter à ce montant l'indemnisation forfaitaire de 20 %, soit CHF 200.-, ainsi que la TVA à hauteur de CHF 96.-.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