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PM/1106/2013 vom 2. Dezember 2013</w:t>
      </w:r>
    </w:p>
    <w:p>
      <w:r>
        <w:t>GE Cour de justice, 2013-12-02, FR</w:t>
      </w:r>
    </w:p>
    <w:p>
      <w:r>
        <w:rPr>
          <w:b/>
        </w:rPr>
        <w:t xml:space="preserve">Quelle: </w:t>
      </w:r>
      <w:r>
        <w:t>https://mcp.opencaselaw.ch/entscheid/ge_gerichte_PM_1106_2013</w:t>
      </w:r>
    </w:p>
    <w:p>
      <w:r>
        <w:t>FR: GE_GERICHTE PM/1106/2013 du 2 décembre 2013</w:t>
      </w:r>
    </w:p>
    <w:p>
      <w:r>
        <w:t>IT: GE_GERICHTE PM/1106/2013 del 2 dicembre 2013</w:t>
      </w:r>
    </w:p>
    <w:p>
      <w:pPr>
        <w:pStyle w:val="Heading2"/>
      </w:pPr>
      <w:r>
        <w:t>Regeste</w:t>
      </w:r>
    </w:p>
    <w:p>
      <w:r>
        <w:t>EXÉCUTION DES PEINES ET DES MESURES; LIBÉRATION CONDITIONNELLE | CP.86.1</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 Berne, 2006, p. 361, S. TRECHSEL, op. cit .,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 p. 361).</w:t>
      </w:r>
    </w:p>
    <w:p>
      <w:r>
        <w:rPr>
          <w:b/>
        </w:rPr>
        <w:t>E. 2.3</w:t>
      </w:r>
    </w:p>
    <w:p>
      <w:r>
        <w:t>En l’espèce, la condition objective prévue par l’art. 86 al. 1 CP est réalisée depuis le 25 novembre 2013. Le fait que la direction de la prison de Champ-Dollon, le SAPEM et le Ministère public aient préavisé positivement la demande de l’appelant, compte tenu notamment de son bon comportement en détention et du fait qu'il n'a jamais bénéficié d'une telle mesure auparavant, constituent des éléments favorables qui ne sauraient, à eux seuls, conduire à l’octroi d’une libération conditionnelle. En effet, l’appelant a été condamné à trois reprises, entre octobre 2007 et mai 2011, pour des faits similaires à ceux à l’origine de la peine qu’il purge actuellement, condamnations qui ne l'ont aucunement dissuadé de réitérer ses agissements illicites, ce qui montre qu'il n’a pas pris conscience du caractère répréhensible de ses actes, ni de leur gravité s'agissant des cambriolages qui lui sont reprochés. Il n’est ainsi guère possible de le croire lorsqu’il affirme vouloir s’amender, de sorte qu’il existe un risque concret de récidive en cas de libération conditionnelle. Comme l'a relevé le premier juge, ce risque apparaît d’autant plus important que le projet de réinsertion de l'appelant n'est pas concret, n'étant aucunement documenté et paraissant peu crédible. Il n'a en particulier fourni aucune pièce tendant à démontrer qu'il entendait réellement se rendre à Paris, d'autant qu'il ne bénéficie d'aucun titre de séjour en France, ni même de documents d'identité en dehors d'un permis de conduire russe, ni qu'il aurait la possibilité d'y être hébergé et traité pour ses problèmes de dépendance aux stupéfiants. On peut aussi douter qu'il soit apte à travailler, de surcroît dans le domaine du bâtiment, compte tenu de sa toxicomanie. Etant donné qu'il s'oppose catégoriquement à tout renvoi dans son pays d'origine, il y a au contraire lieu de redouter qu'il demeure en Suisse et y commette de nouvelles infractions, en particulier des cambriolages, pour pouvoir subvenir à ses besoins et se procurer de l'héroïne. Par conséquent, il convient de poser un pronostic défavorable quant au risque de voir l’appelant récidiver dans ses activités illicites. 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