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PM/1093/2014 vom 8. Dezember 2014</w:t>
      </w:r>
    </w:p>
    <w:p>
      <w:r>
        <w:t>GE Cour de justice, 2014-12-08, FR</w:t>
      </w:r>
    </w:p>
    <w:p>
      <w:r>
        <w:rPr>
          <w:b/>
        </w:rPr>
        <w:t xml:space="preserve">Quelle: </w:t>
      </w:r>
      <w:r>
        <w:t>https://mcp.opencaselaw.ch/entscheid/ge_gerichte_PM_1093_2014</w:t>
      </w:r>
    </w:p>
    <w:p>
      <w:r>
        <w:t>FR: GE_GERICHTE PM/1093/2014 du 8 décembre 2014</w:t>
      </w:r>
    </w:p>
    <w:p>
      <w:r>
        <w:t>IT: GE_GERICHTE PM/1093/2014 del 8 dicembre 2014</w:t>
      </w:r>
    </w:p>
    <w:p>
      <w:pPr>
        <w:pStyle w:val="Heading2"/>
      </w:pPr>
      <w:r>
        <w:t>Regeste</w:t>
      </w:r>
    </w:p>
    <w:p>
      <w:r>
        <w:t>LIBÉRATION CONDITIONNELLE | CP.86</w:t>
      </w:r>
    </w:p>
    <w:p>
      <w:pPr>
        <w:pStyle w:val="Heading2"/>
      </w:pPr>
      <w:r>
        <w:t>Erwägungen</w:t>
      </w:r>
    </w:p>
    <w:p>
      <w:r>
        <w:rPr>
          <w:b/>
        </w:rPr>
        <w:t>E. 1</w:t>
      </w:r>
    </w:p>
    <w:p>
      <w:r>
        <w:t>1.1. Selon l'arrêt 6B_158/2013 du Tribunal fédéral du 25 avril 2013, consid. 2.1, la procédure en libération conditionnelle n'est pas directement régie par le Code de procédure pénale suisse du 5 octobre 2007 (CPP ; RS 312.0), lequel pourrait tout au plus s’appliquer au titre de droit cantonal supplétif. La législation genevoise ne comportant ni disposition fixant la procédure, au-delà de l’attribution de compétence au TAPEM et à la Chambre pénale d’appel et de révision (art. 3 let. za, 42 al. 2 et 41 de la loi d’application du code pénal suisse et d’autres lois fédérales en matière pénale, du 27 août 2009 [LaCP ; RS E 4 10]), ni renvoi exprès au CPP à titre de droit supplétif, les autorités judiciaires cantonales en sont en l’état réduites à faire œuvre de législateur, dans l’attente de son intervention. Pour assurer un minimum de sécurité juridique et par cohérence avec la procédure suivie jusqu'à présent, il convient d’appliquer par analogie les dispositions du droit fédéral, plus particulièrement, à ce stade de la procédure, celles concernant l’appel.</w:t>
      </w:r>
    </w:p>
    <w:p>
      <w:r>
        <w:rPr>
          <w:b/>
        </w:rPr>
        <w:t>E. 1.2</w:t>
      </w:r>
    </w:p>
    <w:p>
      <w:r>
        <w:t>Interjeté et motivé dans la forme et les délais prescrits (art. 398 et 399 CPP par analogie), l'appel est recevable.</w:t>
      </w:r>
    </w:p>
    <w:p>
      <w:r>
        <w:rPr>
          <w:b/>
        </w:rPr>
        <w:t>E. 2.1</w:t>
      </w:r>
    </w:p>
    <w:p>
      <w:r>
        <w:t>A teneur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Lorsque l’autorité libère conditionnellement un détenu, elle lui impartit un délai d’épreuve égal à la durée du solde de la peine, mais d’un an au moins et de cinq ans au plus (art. 87 al. 1 CP). La libération conditionnelle constitue la règle, son refus l’exception, laquelle ne sera admise que pour de bonnes raisons (ATF 133 IV 201 consid. 2.2 p. 203 ; ATF 124 IV 193 consid. 3 et 4d p. 194 et 198). La doctrine précise que le détenu dispose d’une prétention, respectivement d’un droit à l’obtention de la libération conditionnelle (M. A. NIGGLI / H. WIPRÄCHTIGER, Basler Kommentar, Strafrecht I , Bâle 2007, n. 5 ad. art. 86 ; S. TRECHSEL, Schweizerisches Strafgesetzbuch : Praxis-kommentar , Zurich 2008, n. 2 ad. art. 86). La libération conditionnelle sera accordée en l’absence de pronostic défavorable. 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 3 et 4d p. 194 et 198 ; A. KUHN / L. MOREILLON / B. VIREDAZ / A. BISCHOFSKY, La nouvelle partie générale du Code pénal suisse , Berne 2006, p. 361 ; S. TRECHSEL, op. cit ., n. 8-9 ad. art. 86 CP). Il convient par ailleurs d’examiner si le danger que représente le détenu au moment de sa libération augmenterait, diminuerait ou resterait inchangé en cas d’exécution complète de la peine (A. KUHN / L. MOREILLON / B. VIREDAZ / A. BISCHOFSKY, op. cit ., ibidem).</w:t>
      </w:r>
    </w:p>
    <w:p>
      <w:r>
        <w:rPr>
          <w:b/>
        </w:rPr>
        <w:t>E. 2.2</w:t>
      </w:r>
    </w:p>
    <w:p>
      <w:r>
        <w:t>En l'espèce, la condition objective à l'octroi de la libération conditionnelle est réalisée. S'agissant de la condition subjective, force est de constater qu'elle ne l'est pas. Les préavis de la prison de Champ-Dollon, du SAPEM et du Ministère public sont négatifs. L'appelant cumule en effet depuis septembre 2009 quatre condamnations, dont celle du 6 février 2012 à une peine privative de liberté de 36 mois. Excepté pour sa première condamnation, il s'en est pris systématiquement au patrimoine d'autrui en sus d'infractions d'autres natures. Il n'a manifestement pas su tirer profit et comprendre les chances qui lui étaient données de se conformer à l'ordre juridique suisse par l'octroi du sursis pour ses deux premières condamnations, puis d'une libération conditionnelle récente, dès avril 2012. Il n'a au contraire pas hésité, après un renvoi dans son pays d'origine, à revenir en Suisse pour perpétrer dès juillet 2012 à nouveau des infractions contre le patrimoine. La longue détention subie jusqu'en avril 2012 n'a pas davantage eu l'effet dissuasif escompté. S'y ajoute le fait que l'appelant n'a en l'état aucun projet concret à sa sortie de prison. Il n'a pris aucune disposition pour se munir de documents de voyage en vue de son retour, voire d'un nouveau renvoi au Kosovo. La prise d'emploi chez son oncle n'est pas documentée. Ceci amène à craindre que, pour autant qu'il se rende dans un premier temps au Kosovo, l'appelant ne revienne rapidement en Suisse, en toute illégalité, comme il l'a fait en juillet 2012 au plus tard. Dans ces conditions, la CPAR, à l'instar du tribunal de première instance, estime que le pronostic est clairement défavorable et que la libération conditionnelle doit être refusée à l'appelant. L'appel sera donc rejeté.</w:t>
      </w:r>
    </w:p>
    <w:p>
      <w:r>
        <w:rPr>
          <w:b/>
        </w:rPr>
        <w:t>E. 3</w:t>
      </w:r>
    </w:p>
    <w:p>
      <w:r>
        <w:t>L'appelant, qui succombe, supportera les frais de la procédure envers l'État (art. 428 CPP). ![endif]&gt;![if&gt;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