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PM/1083/2018 vom 17. Oktober 2018</w:t>
      </w:r>
    </w:p>
    <w:p>
      <w:r>
        <w:t>GE Cour de justice, 2018-10-17, FR</w:t>
      </w:r>
    </w:p>
    <w:p>
      <w:r>
        <w:rPr>
          <w:b/>
        </w:rPr>
        <w:t xml:space="preserve">Quelle: </w:t>
      </w:r>
      <w:r>
        <w:t>https://mcp.opencaselaw.ch/entscheid/ge_gerichte_PM_1083_2018</w:t>
      </w:r>
    </w:p>
    <w:p>
      <w:r>
        <w:t>FR: GE_GERICHTE PM/1083/2018 du 17 octobre 2018</w:t>
      </w:r>
    </w:p>
    <w:p>
      <w:r>
        <w:t>IT: GE_GERICHTE PM/1083/2018 del 17 ottobre 2018</w:t>
      </w:r>
    </w:p>
    <w:p>
      <w:pPr>
        <w:pStyle w:val="Heading2"/>
      </w:pPr>
      <w:r>
        <w:t>Regeste</w:t>
      </w:r>
    </w:p>
    <w:p>
      <w:r>
        <w:t>PRONOSTIC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ad art. 363). ![endif]&gt;![if&gt; Depuis le 1 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conteste le refus de sa demande de libération conditionnelle. ![endif]&gt;![if&gt;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6B_72/2007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 2 e éd., Bâle 2017, n. 8 ad art. 86 CP).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6A_78/2000 du 3 novembre 2000 consid. 2 et 6A_34/2006 du 30 mai 2006 consid. 2.1; A. BAECHTOLD, Exécution des peines : l'exécution des peines et mesures concernant les adultes en Suisse ,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w:t>
      </w:r>
    </w:p>
    <w:p>
      <w:r>
        <w:rPr>
          <w:b/>
        </w:rPr>
        <w:t>E. 3.2</w:t>
      </w:r>
    </w:p>
    <w:p>
      <w:r>
        <w:t>En l'espèce, la condition objective d'une libération conditionnelle est, certes, réalisée depuis le 13 octobre 2018. ![endif]&gt;![if&gt; Le recourant ne bénéficie cependant pas de préavis positifs, hormis celui de l'établissement d'exécution. Il a été condamné à quatre reprises depuis 2013. Le point commun à ces condamnations est la persistance à enfreindre la LStup et la LÉtr. Ce tableau, avec l'échec d'une précédente libération conditionnelle, rend le risque de réitération important. Il l'est d'autant plus que les projets d'avenir du recourant sont inconsistants. Le recourant persiste contre vents et marées à vouloir se rendre en Espagne, alors que ses nombreux renvois passés vers ce pays ne l'ont manifestement pas convaincu de s'y établir et que, surtout, cet État a fait savoir qu'il ne le réadmettrait pas sur son territoire. Que ce soit dans ces circonstances ou pris pour lui-même, son bon comportement en détention ne revêt aucune valeur particulière. Un titre de séjour en Suisse ne lui serait pas mieux délivré sur cette seule prémisse. Au contraire, il est sous le coup d'une mesure de renvoi et doit s'attendre à une interdiction d'entrée. Par ailleurs, on ne voit pas en quoi les conditions prétendument illicites de sa détention, passée, à la prison D______ excuseraient l'échec de sa précédente libération conditionnelle. Aussi difficiles qu'elles aient pu être, ces conditions n'avaient, précisément, pas empêché un pronostic favorable à son élargissement. De ce qui précède, il résulte donc que, s'il était libéré une nouvelle fois à titre conditionnel, le recourant présenterait un risque de récidive qui doit être qualifié de très élevé, puisqu'il n'entretient aucune attache quelconque avec la Suisse, qu'il n'est pas autorisé à s'y maintenir et travailler et qu'il ne s'est pas plié à son renvoi de Suisse. Les premiers juges ont ainsi correctement statué, sans violer l'art. 86 CP.</w:t>
      </w:r>
    </w:p>
    <w:p>
      <w:r>
        <w:rPr>
          <w:b/>
        </w:rPr>
        <w:t>E. 4</w:t>
      </w:r>
    </w:p>
    <w:p>
      <w:r>
        <w:t>Justifié, le jugement querellé sera donc confirmé.![endif]&gt;![if&gt;</w:t>
      </w:r>
    </w:p>
    <w:p>
      <w:r>
        <w:rPr>
          <w:b/>
        </w:rPr>
        <w:t>E. 5</w:t>
      </w:r>
    </w:p>
    <w:p>
      <w:r>
        <w:t>Le recourant, qui succombe, supportera les frais envers l'État, qui comprendront un émolument de CHF 800.- (art. 428 al. 1 CPP et 13 al. 1 du Règlement fixant le tarif des frais en matière pénale, RTFMP; E 4 10.03).![endif]&gt;![if&gt;</w:t>
      </w:r>
    </w:p>
    <w:p>
      <w:r>
        <w:rPr>
          <w:b/>
        </w:rPr>
        <w:t>E. 6</w:t>
      </w:r>
    </w:p>
    <w:p>
      <w:r>
        <w:t>Le TAPEM ayant pourvu le recourant d'une défense d'office, il y a lieu de fixer l'indemnité avec la présente décision (art. 135 al. 3 CPP). Bien que le conseil du recourant n'ait pas produit d'état de frais (art. 17 RAJ) ni chiffré ses prétentions, et compte tenu de l'ampleur de ses écritures (huit pages, page de garde et conclusions comprises), deux heures d'activité, au tarif horaire de CHF 200.-, plus TVA, paraissent en adéquation avec le travail accompli.![endif]&gt;![if&gt;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