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PG/299/2023 vom 2. Dezember 2025</w:t>
      </w:r>
    </w:p>
    <w:p>
      <w:r>
        <w:t>GE Cour de justice, 2025-12-02, FR</w:t>
      </w:r>
    </w:p>
    <w:p>
      <w:r>
        <w:rPr>
          <w:b/>
        </w:rPr>
        <w:t xml:space="preserve">Quelle: </w:t>
      </w:r>
      <w:r>
        <w:t>https://mcp.opencaselaw.ch/entscheid/ge_gerichte_PG_299_2023</w:t>
      </w:r>
    </w:p>
    <w:p>
      <w:r>
        <w:t>FR: GE_GERICHTE PG/299/2023 du 2 décembre 2025</w:t>
      </w:r>
    </w:p>
    <w:p>
      <w:r>
        <w:t>IT: GE_GERICHTE PG/299/2023 del 2 dicembre 2025</w:t>
      </w:r>
    </w:p>
    <w:p>
      <w:pPr>
        <w:pStyle w:val="Heading2"/>
      </w:pPr>
      <w:r>
        <w:t>Regeste</w:t>
      </w:r>
    </w:p>
    <w:p>
      <w:r>
        <w:t>PARTIE À LA PROCÉDURE;PLAIGNANT;LÉSÉ;QUALITÉ POUR AGIR ET RECOURIR;PRINCIPE DE LA BONNE FOI;DROIT D'OBTENIR UNE DÉCISION;REFUS DE STATUER | CPP.382; CPP.104.al1.letb; CPP.118; Cst.29.al2; Cst.5.al3</w:t>
      </w:r>
    </w:p>
    <w:p>
      <w:pPr>
        <w:pStyle w:val="Heading2"/>
      </w:pPr>
      <w:r>
        <w:t>Erwägungen</w:t>
      </w:r>
    </w:p>
    <w:p>
      <w:r>
        <w:rPr>
          <w:b/>
        </w:rPr>
        <w:t>E. 1.1</w:t>
      </w:r>
    </w:p>
    <w:p>
      <w:r>
        <w:t>Le recours, formé pour déni de justice, soit un grief invocable en tout temps (art. 396 al. 2 CPP), a été interjeté selon la forme prescrite (art. 393 et 396 al. 1 CPP).</w:t>
      </w:r>
    </w:p>
    <w:p>
      <w:r>
        <w:rPr>
          <w:b/>
        </w:rPr>
        <w:t>E. 1.2</w:t>
      </w:r>
    </w:p>
    <w:p>
      <w:r>
        <w:t>Reste toutefois à déterminer si le recourant dispose d'un intérêt juridiquement protégé à ce qu'il soit statué sur sa requête en déni de justice (art. 382 CPP), en tant que le Ministère public n’aurait pas donné suite à ses plaintes des 30 janvier 2017, 8 octobre 2018, 21 août 2023, 26 avril 2024, 6 septembre 2024, 4 octobre 2024 et 4 mars 2025.</w:t>
      </w:r>
    </w:p>
    <w:p>
      <w:r>
        <w:rPr>
          <w:b/>
        </w:rPr>
        <w:t>E. 1.2.1</w:t>
      </w:r>
    </w:p>
    <w:p>
      <w:r>
        <w:t>Seul celui qui a un intérêt juridiquement protégé à l'annulation/la modification d’un prononcé a qualité pour quereller celui-ci (art. 382 CPP). Selon l’art. 118 al. 1 CPP, on entend par partie plaignante (cf. art. 104 al. 1 let. b CPP)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148 IV 170 consid. 3.2; arrêts 7B_376/2023 du 22 février 2024 consid. 3.1 et les arrêts cités; 1B_166/2022 du 27 février 2023 consid. 5.2). Celui qui prétend disposer de la qualité de partie plaignante doit rendre vraisemblable le préjudice qu'il subit (ATF 141 IV 1 consid. 3.1; arrêt du Tribunal fédéral 1B_18/2018 du 19 avril 2018 consid. 2.1).</w:t>
      </w:r>
    </w:p>
    <w:p>
      <w:r>
        <w:rPr>
          <w:b/>
        </w:rPr>
        <w:t>E. 1.2.2</w:t>
      </w:r>
    </w:p>
    <w:p>
      <w:r>
        <w:t>). Or, force est d’admettre que le Ministère public n’a pas statué sur cette plainte, alors qu’il lui incombait de le faire. Un déni de justice devra ainsi être consacré à cet égard et le Ministère public sera invité à statuer sur ces faits.</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135 I 6 consid. 2.1; arrêts du Tribunal fédéral 6B_868/2016 du 9 juin 2017 consid. 3.1, 5A_578/2010 du 19 novembre 2010 et 5A_279/2010 du 24 juin 2010 consid. 3.3; G. PIQUEREZ/ A. MACALUSO, Procédure pénale suisse : Manuel, 3e éd., Zurich 2011, n. 187).</w:t>
      </w:r>
    </w:p>
    <w:p>
      <w:r>
        <w:rPr>
          <w:b/>
        </w:rPr>
        <w:t>E. 2.2</w:t>
      </w:r>
    </w:p>
    <w:p>
      <w:r>
        <w:t>Conformément à l’art. 5 Cst, le droit est la base et la limite de l’activité de l’État (al. 1). L’activité de l’État doit répondre à un intérêt public prépondérant et être proportionné au but visé (al. 2). Les organes de l’État et les particuliers doivent agir de manière conforme aux règles de la bonne foi (al. 3). La Confédération et les cantons respectent le droit international (al. 4).</w:t>
      </w:r>
    </w:p>
    <w:p>
      <w:r>
        <w:rPr>
          <w:b/>
        </w:rPr>
        <w:t>E. 2.3</w:t>
      </w:r>
    </w:p>
    <w:p>
      <w:r>
        <w:t>. En l’espèce, le recourant a évoqué, dans plusieurs de ses plaintes – les 31 janvier 2017, 8 octobre 2018, 26 avril 2024 et 6 septembre 2024 – des « empoisonnements » et une « tentative d’assassinat » dont il aurait fait l’objet. Au vu des explications pour le moins inconsistantes livrées à l’appui de ses plaintes, lesquelles ne reposaient sur aucun élément tangible, si ce n’étaient des théories hasardeuses et simples suppositions de sa part, on ne pouvait attendre du Ministère public, comme celui-ci l’a justement relevé dans ses observations, qu’il donnât suite à de telles allégations. Si le Ministère public est, certes, tenu de traiter les plaintes qu’il reçoit, cas échéant en rendant des ordonnances de non-entrée matière – dans l’éventualité où il devrait estimer que celles-ci étaient infondées –, on ne saurait toutefois attendre de sa part qu’il réponde à chacune des correspondances qui lui sont adressées, ce d’autant lorsque celles-ci apparaissent d’emblée – et manifestement – abusives et ne revêtent aucun caractère pénal, peu importe à cet égard les termes utilisés par les justiciables dans leurs courriers. Il sera à cet égard rappelé que ces derniers sont tenus d’agir conformément aux règles de la bonne foi, principe ancré à l’art. 5 al. 3 Cst. et qui s’applique tant aux autorités qu’aux particuliers. Au vu de ce qui précède, il ne saurait être fait grief au Ministère public de ne pas avoir donné suite aux plaintes du recourant en tant qu’elles portaient sur les « empoisonnements » et « tentative d’assassinat » dont il indiquait avoir été victime. Il en va différemment de certains des faits évoqués dans son envoi du 26 avril 2024. Dans cette plainte, le recourant a indiqué avoir été approché, quatre jours plus tôt, devant l’école G______, par plusieurs individus – dont il joignait des photos – qui s’étaient montrés menaçants à son égard. L’un d’entre eux l’avait filmé, en lui indiquant être en communication avec son cousin, tandis qu’un autre lui avait montré dans sa sacoche le bout en bois d’un probable manche de couteau et lui « avait parlé de 2000 pour lui mettre une balle dans la tête par kalasch ». Un des autres individus rencontrés ce jour-là avait également saisi son téléphone. Le lendemain, un autre homme, dont il joignait également un cliché, l’avait traité de « fils de pute » et lui avait dit qu’il allait « niquer » sa mère. De tels faits sont susceptibles d’être constitutifs, à tout le moins, d’injures et de menaces, soit des infractions impliquant une atteinte directe à l’honneur du recourant et pour lesquelles ce dernier était légitimé à déposer plainte, ainsi qu’il a été relevé supra (cf. consid.</w:t>
      </w:r>
    </w:p>
    <w:p>
      <w:r>
        <w:rPr>
          <w:b/>
        </w:rPr>
        <w:t>E. 3</w:t>
      </w:r>
    </w:p>
    <w:p>
      <w:r>
        <w:t>Au vu de ce qui précède, le recours sera partiellement admis, en tant que doit être constaté un déni de justice s’agissant des menaces et insultes dénoncées par le recourant dans sa plainte du 26 avril 2024 en lien avec les faits survenus les 20 et 21 précédents. Il appartiendra au Ministère public de statuer sur ces faits. Le recours sera rejeté pour le surplus, dans la mesure de sa recevabilité.</w:t>
      </w:r>
    </w:p>
    <w:p>
      <w:r>
        <w:rPr>
          <w:b/>
        </w:rPr>
        <w:t>E. 4</w:t>
      </w:r>
    </w:p>
    <w:p>
      <w:r>
        <w:t>Le recourant obtient partiellement gain de cause (art. 428 al. 1 CPP ; arrêt du Tribunal fédéral 7B_512/2023 du 30 septembre 2024 consid. 3.1). Il sera, en conséquence, condamné aux trois quarts des frais de la procédure de recours, fixés en totalité à CHF 1’200.-, compte tenu de l’ampleur de l’activité ayant été déployée pour prendre connaissance des nombreuses plaintes et annexes produites par le recourant (art. 3 cum 13 al. 1 du Règlement fixant le tarif des frais en matière pénale, RTFMP; E 4 10.03), soit au paiement de CHF 900.-, somme qui sera prélevée sur les sûretés en CHF 900.- versées par celui-ci. Le solde de ces frais (CHF 300.-) sera laissé à la charge de l'État.</w:t>
      </w:r>
    </w:p>
    <w:p>
      <w:r>
        <w:rPr>
          <w:b/>
        </w:rPr>
        <w:t>E. 5</w:t>
      </w:r>
    </w:p>
    <w:p>
      <w:r>
        <w:t>Le recourant peut, corrélativement (ATF 144 IV 207 consid. 1.8.2), prétendre à l'octroi de dépens en lien avec l'activité pour laquelle il a obtenu gain de cause, soit à raison de 25% (art. 429 al. 1 let. a et al. 3 cum 436 al. 1 CPP). En l'occurrence, le recourant a chiffré ses dépens à CHF 648.60, correspondant à quatre heures d’activité d’avocat stagiaire, TVA incluse. Eu égard au travail accompli, soit la rédaction d’un recours de six pages (page de garde et conclusions comprises) et d’une réplique d’une page et demi, ainsi qu’à l'admission partielle de ses conclusions, un montant de CHF 162.15 lui sera alloué, correspondant à une heure d'activité d’avocat stagiaire au tarif horaire de CHF 150.-, TVA (à 8.1%)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