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OARP/43/2020 vom 29. April 2020</w:t>
      </w:r>
    </w:p>
    <w:p>
      <w:r>
        <w:t>GE Cour de justice, 2020-04-29, FR</w:t>
      </w:r>
    </w:p>
    <w:p>
      <w:r>
        <w:rPr>
          <w:b/>
        </w:rPr>
        <w:t xml:space="preserve">Quelle: </w:t>
      </w:r>
      <w:r>
        <w:t>https://mcp.opencaselaw.ch/entscheid/ge_gerichte_OARP_43_2020</w:t>
      </w:r>
    </w:p>
    <w:p>
      <w:r>
        <w:t>FR: GE_GERICHTE OARP/43/2020 du 29 avril 2020</w:t>
      </w:r>
    </w:p>
    <w:p>
      <w:r>
        <w:t>IT: GE_GERICHTE OARP/43/2020 del 29 aprile 2020</w:t>
      </w:r>
    </w:p>
    <w:p>
      <w:pPr>
        <w:pStyle w:val="Heading2"/>
      </w:pPr>
      <w:r>
        <w:t>Erwägungen</w:t>
      </w:r>
    </w:p>
    <w:p>
      <w:r>
        <w:rPr>
          <w:b/>
        </w:rPr>
        <w:t>E. 10</w:t>
      </w:r>
    </w:p>
    <w:p>
      <w:r>
        <w:t>al. 2 Cst. et 5 CEDH) que si elle repose sur une base légale (art. 31 al. 1 et 36 al. 1 Cst.). Elle doit en outre correspondre à un intérêt public et respecter le principe de la proportionnalité (art. 36 al. 2 et 3 Cst., 212 al. 3 CPP). 2.1.3. Conformément à l'art. 221 al. 1 let. a CPP, la détention pour des motifs de sûreté peut être ordonnée s'il y a sérieusement lieu de craindre que le prévenu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Il doit par ailleurs exister à l'égard de l'intéressé des charges suffisantes, soit de sérieux soupçons de culpabilité (art. 221 al. 1 CPP et 5 par. 1 let. c CEDH). 2.1.4. La détention avant jugement ne doit pas durer plus longtemps que la peine privative de liberté prévisible (art. 212 al. 3 CPP). 2.1.5. L'art. 237 CPP dispose que peuvent être ordonnées en lieu et place de la détention provisoire ou de la détention pour des motifs de sûreté une ou plusieurs mesures moins sévères, si ces mesures permettent d’atteindre le même but que la détention. Sont notamment visées la fourniture de sûretés ou l’obligation de se soumettre à un traitement médical. 2.2.1. En l’espèce, le requérant ne remet pas en cause l'existence de charges suffisantes, ayant au demeurant admis en partie les faits pour lesquels il a été reconnu coupable en première instance, qualifiés de tentative de meurtre, tentative de lésions corporelles graves, violence ou menace contre les autorités et les fonctionnaires, injure et consommation de stupéfiants, soit des crimes et délit graves. 2.2.2. Le risque concret de réitération doit également être considéré comme établi. Tel que déjà relevé par la CPR dans sa dernière décision, le requérant a fait preuve d'une grande violence contre l'intégrité corporelle d'autrui. Son casier judiciaire et les conclusions de l'expertise psychiatrique confirment sa propension à la violence contre les personnes. Sous cet angle, le suivi psychothérapeutique apparemment entrepris en détention, mais pour lequel le requérant ne produit pas d'attestation de suivi, ne saurait être considéré comme</w:t>
      </w:r>
    </w:p>
    <w:p>
      <w:r>
        <w:t>- 6/8 - P/22181/2018 suffisant dans sa durée pour qu'il puisse être admis qu'il diminue sensiblement le risque de récidive, considéré comme élevé par les experts. La promesse d'embauche produite à l'appui de sa requête ne constitue pas non plus à ce sujet un élément significatif, puisque l'appelant a déjà dans le passé travaillé pour l'entreprise de son père ce qui ne l'a pas retenu de commettre des actes de violence. 2.2.3. Le risque de fuite a déjà été jugé comme étant concret par le TMC. Le requérant ne fournit aucun élément nouveau qui permette de considérer ce risque comme moindre que ce qu'il était alors, puisqu'il conteste toujours tant la quotité de la peine prononcée en première instance que la mesure de placement dans un foyer pour jeunes adultes, préconisé par les experts, et qu'il a de la famille à l'étranger, soit son père et France et ses grands- parents au Portugal. 2.2.4. Le principe de proportionnalité est également en l'état respecté, eu égard à la peine concrètement encourue, étant relevé que l'appelant ne le conteste pas dans sa requête. La cause est instruite sans désemparer, le requérant ayant déjà déposé sa déclaration d'appel et un délai lui étant d'ores et déjà imparti pour le dépôt de son mémoire d'appel en procédure écrite. 2.2.5. Enfin, aucune mesure de substitution ne parait propre à pallier aux risques sus- évoqués. L'interdiction de contact avec le dénommé D______ ne concernerait en tout état qu'un risque de collusion non retenu jusqu'ici. L'interdiction de quitter le pays, dont la proposition n'est même pas assortie de celle du dépôt des documents d'identité, l'obligation de se présenter à la police une fois par semaine, l'obligation d'entreprendre un traitement psychothérapeutique ou celle de se présenter au SPI ne suffisent clairement pas pour qu'il puisse être sérieusement et concrètement envisagé qu'elles pourraient diminuer substantiellement les risques de récidive et de fuite. 3. La demande en libération sera ainsi rejetée au bénéfice des explications qui précèdent. 4. Le requérant sera invité, s'il l'estime opportun, à saisir la ou les autorités qu'il jugera compétentes pour toutes décisions concernant l'exécution de sa peine privative de liberté, en particulier concernant la mise en place d'un plan d'exécution de peine. 5. Le requérant, qui succombe, sera condamné aux frais de la présente (art. 426 et 428 CPP). * * * * *</w:t>
      </w:r>
    </w:p>
    <w:p>
      <w:r>
        <w:t>- 7/8 - P/22181/2018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