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JTDP/928/2023 vom 11. Juli 2023</w:t>
      </w:r>
    </w:p>
    <w:p>
      <w:r>
        <w:t>GE Cour de justice, 2023-07-11, FR</w:t>
      </w:r>
    </w:p>
    <w:p>
      <w:r>
        <w:rPr>
          <w:b/>
        </w:rPr>
        <w:t xml:space="preserve">Quelle: </w:t>
      </w:r>
      <w:r>
        <w:t>https://mcp.opencaselaw.ch/entscheid/ge_gerichte_JTDP_928_2023</w:t>
      </w:r>
    </w:p>
    <w:p>
      <w:r>
        <w:t>FR: GE_GERICHTE JTDP/928/2023 du 11 juillet 2023</w:t>
      </w:r>
    </w:p>
    <w:p>
      <w:r>
        <w:t>IT: GE_GERICHTE JTDP/928/2023 del 11 luglio 2023</w:t>
      </w:r>
    </w:p>
    <w:p>
      <w:pPr>
        <w:pStyle w:val="Heading2"/>
      </w:pPr>
      <w:r>
        <w:t>Erwägungen</w:t>
      </w:r>
    </w:p>
    <w:p>
      <w:r>
        <w:rPr>
          <w:b/>
        </w:rPr>
        <w:t>E. 28</w:t>
      </w:r>
    </w:p>
    <w:p>
      <w:r>
        <w:t>mai 2019. Le sursis du 22 mars 2018 ne sera pas révoqué, vu la peine ferme prononcée, mais le délai d'épreuve sera prolongé de deux ans. S'agissant de la mesure d'interdiction sollicitée par le Ministère public, elle ne sera pas prononcée, la peine privative de liberté n'étant pas supérieure à six mois. Conclusions civiles</w:t>
      </w:r>
    </w:p>
    <w:p>
      <w:r>
        <w:t>- 29 - P/13930/2020 7.1.1.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L'art. 126 al. 2 CPP prévoit quant à lui que le juge renvoie la partie plaignante à agir par la voie civile lorsque la partie plaignante n'a pas chiffré ses conclusions de manière suffisamment précise ou ne les a pas suffisamment motivées (let. b) ou encore lorsque le prévenu est acquitté alors que l'état de fait n'a pas été suffisamment établi (let. d) 7.1.2. Chacun est tenu de réparer le dommage qu'il cause à autrui d'une manière illicite, soit intentionnellement, soit par négligence ou imprudence (art. 41 al. 1 CO). La preuve du dommage incombe au demandeur (art. 42 al. 1 CO).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7.2. En l'espèce, B______ a été subrogé dans les droits de R______, lésée par les infractions commises. Dans cette mesure, il subit le dommage causé par les agissements illicites du prévenu, à hauteur du montant des crédits COVID-19, sous réserve des deux montants de CHF 1'800.- que le prévenu s'est versé à titre de salaire, ce qui correspondait au salaire moyen mensuel qu'il se versait jusque-là. Ces montants portent intérêts au jour de la survenance du dommage, soit aux dates des remboursements des prêts par B______ à R______. Pour le prêt concernant E______, la subrogation de B______ est limitée à CHF 14'961.95, dont à déduire deux acomptes de CHF 500.-. Le prévenu sera ainsi condamné à payer à B______ les sommes de CHF 14'200.- avec intérêts à 5% dès le 3 août 2020 (G______), CHF 14'961.95 avec intérêts à 5% dès le 3 août 2020 (E______), sous déduction des sommes versées, et CHF 18'218.- avec intérêts à 5% dès le 23 septembre 2020 (F______). Créance compensatrice, allocation au lésé, séquestre 8.1.1. Lorsque les valeurs patrimoniales à confisquer ne sont plus disponibles, le juge ordonne leur remplacement par une créance compensatrice de l'État d'un montant équivalent (art. 71 al. 1, 1ère phrase CP).</w:t>
      </w:r>
    </w:p>
    <w:p>
      <w:r>
        <w:t>- 30 - P/13930/2020 Le juge peut renoncer totalement ou partiellement à la créance compensatrice s'il est à prévoir qu'elle ne serait pas recouvrable ou qu'elle entraverait sérieusement la réinsertion de la personne concernée (art. 71 al. 2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8.1.2. L'art. 73 al. 1 let.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jugement ou par une transaction. Le juge ne peut ordonner cette mesure que si le lésé cède à l'Etat une part correspondante de sa créance (art. 73 al. 2 CP). Conformément au texte de la loi, l'allocation au lésé n'est accordée que sur requête de celui-ci et n'intervient jamais d'office. Lorsque les conditions d'une allocation au lésé sont réunies, le juge est tenu de l'ordonner (ATF 123 IV 145 consid. 4d). Pour bénéficier de l'allocation, le lésé doit avoir subi un dommage direct, lequel se détermine en application des principes de droit civil issus des art. 41ss CO. Ce dommage doit être fixé judiciairement ou dans le cadre d'un accord avec le délinquant (arrêts du Tribunal fédéral 6B_405/2008 du 12 décembre 2008 consid. 1.3.3; 6S.203/2004 du 15 juin 2006 consid. 4.1). 8.2.1. En l'espèce, les valeurs patrimoniales résultant de l'infraction ne sont plus disponibles, de sorte que la confiscation et la restitution ne sont plus possibles et que la question du prononcé d'une créance compensatrice se pose. Le prévenu s'est enrichi de l'essentiel des montants des trois prêts COVID-19, par le biais de ses sociétés, dont il est ou était le seul associé gérant et dont il utilise ou a utilisé les avoirs indistinctement pour ses besoins personnels autant que pour les besoins professionnels desdites sociétés, sous réserve des salaires versés, soit un montant total de CHF 47'382.-. Sa situation financière est cependant incertaine. Actuellement, plusieurs de ses sociétés ont fait faillite. Son revenu allégué n'est pas documenté. En revanche, un montant total s'élevant à un peu plus de CHF 24'000.- est séquestré. Au vu de la situation financière du prévenu, il se justifie de réduire le montant de la créance compensatrice et de la fixer à CHF 30'000.-.</w:t>
      </w:r>
    </w:p>
    <w:p>
      <w:r>
        <w:t>- 31 - P/13930/2020 8.2.2. Cette créance sera allouée à B______ à concurrence de ses prétentions civiles, celui-ci en ayant fait la requête et ayant cédé à l'Etat de Genève une part correspondante de cette créance. 8.2.3. Afin de garantir le recouvrement de la créance compensatrice, le maintien du séquestre sera ordonné sur les avoirs de G______ et F______ auprès de R______. Frais et indemnités 9. Compte tenu du verdict de culpabilité, les frais de la procédure, y compris un émolument de jugement de CHF 1'000.-, seront entièrement mis à la charge du prévenu (art. 426 al. 1 CPP; art. 9 al. 1 let. d du Règlement fixant le tarif des frais en matière pénale du 22 décembre 2010 [RTFMP; RS GE E 4.10.03]). 10.1. L'art. 433 al. 1 let. a CPP permet à la partie plaignante de demander au prévenu une juste indemnité pour les dépenses obligatoires occasionnées par la procédure lorsqu'elle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10.2. En l'espèce, le prévenu sera condamné à verser à B______ la somme de CHF 5'565.- à titre de juste indemnité pour les dépenses obligatoires occasionnées par la procédure, le montant réclamé (CHF 6'465.-) étant légèrement réduit car excessif. 11. Le défenseur d'office du prévenu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