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JTDP/503/2022 vom 10. Mai 2022</w:t>
      </w:r>
    </w:p>
    <w:p>
      <w:r>
        <w:t>GE Cour de justice, 2022-05-10, FR</w:t>
      </w:r>
    </w:p>
    <w:p>
      <w:r>
        <w:rPr>
          <w:b/>
        </w:rPr>
        <w:t xml:space="preserve">Quelle: </w:t>
      </w:r>
      <w:r>
        <w:t>https://mcp.opencaselaw.ch/entscheid/ge_gerichte_JTDP_503_2022</w:t>
      </w:r>
    </w:p>
    <w:p>
      <w:r>
        <w:t>FR: GE_GERICHTE JTDP/503/2022 du 10 mai 2022</w:t>
      </w:r>
    </w:p>
    <w:p>
      <w:r>
        <w:t>IT: GE_GERICHTE JTDP/503/2022 del 10 maggio 2022</w:t>
      </w:r>
    </w:p>
    <w:p>
      <w:pPr>
        <w:pStyle w:val="Heading2"/>
      </w:pPr>
      <w:r>
        <w:t>Erwägungen</w:t>
      </w:r>
    </w:p>
    <w:p>
      <w:r>
        <w:rPr>
          <w:b/>
        </w:rPr>
        <w:t>E. 1</w:t>
      </w:r>
    </w:p>
    <w:p>
      <w:r>
        <w:t>Le principe in dubio pro reo, qui découle de la présomption d'innocence, garantie par l'art. 6 ch. 2 CEDH et, sur le plan interne, par l'art. 32 al. 1 Cst. et 10 CPP,</w:t>
      </w:r>
    </w:p>
    <w:p>
      <w:r>
        <w:t>- 17 -</w:t>
      </w:r>
    </w:p>
    <w:p>
      <w:r>
        <w:t>P/2650/2020</w:t>
      </w:r>
    </w:p>
    <w:p>
      <w:r>
        <w:t>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 d'une appréciation exempte d'arbitraire de l'ensemble des preuves, le juge aurait dû éprouver des doutes sérieux et irréductibles sur sa culpabilité (ATF 127 I 38 consid. 2a; 124 IV 86 consid. 2a; 120 Ia 31 consid. 2c).</w:t>
      </w:r>
    </w:p>
    <w:p>
      <w:r>
        <w:rPr>
          <w:b/>
        </w:rPr>
        <w:t>E. 2</w:t>
      </w:r>
    </w:p>
    <w:p>
      <w:r>
        <w:t>2.1.1.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t>Le comportement délictueux consiste à soustraire la chose. Comme dans le cas de l'abus de confiance ou de l'appropriation illégitime, l'auteur s'approprie la chose mobilière appartenant à autrui, mais il réalise l'appropriation par une soustraction, c'est-à-dire par le bris de la possession (au sens allemand de Gewahrsam) et par la constitution d'une nouvelle possession (ATF 132 IV 110 consid. 2.1, 115 IV 106 consid. 1c/aa, 112 IV 11 consid. 2a). Autrement dit, une autre personne avait la possession de la chose (même non exclusive), l'auteur la lui enlève contre sa volonté et prend ainsi sa place. Il y a donc un double problème de possession: le lésé devait être possesseur de la chose et l'auteur, par la soustraction, a acquis une possession qu'il n'avait pas auparavant (B. CORBOZ, Les infractions de droit suisse, Volume I, troisième édition, n. 2 ad. art. 139 CP).</w:t>
      </w:r>
    </w:p>
    <w:p>
      <w:r>
        <w:t>En soi, les moyens par lesquels l'auteur parvient à ses fins pour provoquer la rupture de la possession importent peu. La jurisprudence précise qu'ils peuvent être fondés sur la force, la ruse (hypothèse du vol "à l'astuce"), l'adresse, voire la simple exploitation d'une occasion favorable (Petit commentaire du CP, 2ème édition, N 10 ad. art. 139 CP et les références citées). 2.1.2. Aux termes de l'art. 137 ch. 1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w:t>
      </w:r>
    </w:p>
    <w:p>
      <w:r>
        <w:t>- 18 -</w:t>
      </w:r>
    </w:p>
    <w:p>
      <w:r>
        <w:t>P/2650/2020</w:t>
      </w:r>
    </w:p>
    <w:p>
      <w:r>
        <w:t>Si l'auteur a agi sans dessein d'enrichissement, l'infraction ne sera poursuivie que sur plainte (art. 137 ch. 2 al. 2 CP). Cette disposition se distingue de l'art. 137 ch. 1 CP en ce sens qu'elle vise le cas de celui qui est poussé par un mobile autre que celui d'obtenir un avantage pécuniaire. Ainsi, celui qui remplit les conditions du comportement de l'art. 137 ch. 1 CP, mais agit par égoïsme ou au contraire mû par un sentiment respectable agit « sans dessein d'enrichissement illégitime ». C'est en définitive l'animus avec lequel l'auteur agit qui permet de distinguer l'énoncé légal décrit à l'art. 137 ch. 1 CP et celui de l'art. 137 ch. 2 al. 2 CP, cette dernière disposition n'engendrant aucun dommage patrimonial. Il n'est pas nécessaire en effet que l'ayant droit ait subi à proprement dit un dommage. Le fait, pour l'ayant droit, d'être dépossédé durablement et contre sa volonté de la chose constitue déjà un préjudice. Il suffit en définitive que le strict pouvoir de disposition de l'ayant droit ait été atteint (A. PAPAUX, CR-CP II, 2017, n°44 ad. art. 137). Les actes de justice privée, fondée sur une prétention réelle ou probable, de même que l'appropriation d'une chose en restituant sa valeur marchande sont des exemples classiques d'appropriation sans dessein d'enrichissement illégitime (A. PAPAUX, CR-CP II, 2017, n°45 ad. art. 137).</w:t>
      </w:r>
    </w:p>
    <w:p>
      <w:r>
        <w:t>2.1.3. Selon l'art. 172ter al. 1 CP, si l'acte ne visait qu'un élément patrimonial de faible valeur ou un dommage de moindre importance, l'auteur sera, sur plainte, puni d'une amende.</w:t>
      </w:r>
    </w:p>
    <w:p>
      <w:r>
        <w:t>Cette disposition n'est pas applicable au vol qualifié (art. 139 ch. 2 et 3 CP), au brigandage ainsi qu'à l'extorsion et au chantage (art. 172ter al. 2 CP).</w:t>
      </w:r>
    </w:p>
    <w:p>
      <w:r>
        <w:rPr>
          <w:b/>
        </w:rPr>
        <w:t>E. 2.2</w:t>
      </w:r>
    </w:p>
    <w:p>
      <w:r>
        <w:t>En l'espèce, il ressort des éléments du dossier, en particulier des rapports de police et des déclarations constantes d'A______, que H______ a, en tapant sur la main du précité, fait tomber ses écouteurs qu'elle a ramassé et refusé de lui rendre, se les appropriant de la sorte en brisant la possession d'A______. Elle en a fait de même avec le badge professionnel de ce dernier, faits qu'au demeurant H______ a reconnu, étant précisé que le précité n'a été en mesure de récupérer ses biens que grâce à l'intervention rapide de la police sur les lieux et à l'interpellation de H______.</w:t>
      </w:r>
    </w:p>
    <w:p>
      <w:r>
        <w:t>En revanche, l'intéressée n'avait aucune intention de s'enrichir avec l'appropriation de ces objets mais d'amener A______ à supprimer les photographies et vidéos de F______ et à supprimer l'ensemble des numéros de téléphone des membres de la famille M______.</w:t>
      </w:r>
    </w:p>
    <w:p>
      <w:r>
        <w:t>A défaut de dessein d'enrichissement illégitime, l'infraction de vol ne sera pas retenue à l'encontre de H______, qui sera néanmoins reconnue coupable d'appropriation illégitime d'importance mineure au sens des articles 137 ch. 2 al. 2 et 172ter al. 1 CP, vu la valeur minime des objets dérobés.</w:t>
      </w:r>
    </w:p>
    <w:p>
      <w:r>
        <w:t>- 19 -</w:t>
      </w:r>
    </w:p>
    <w:p>
      <w:r>
        <w:t>P/2650/2020</w:t>
      </w:r>
    </w:p>
    <w:p>
      <w:r>
        <w:rPr>
          <w:b/>
        </w:rPr>
        <w:t>E. 3</w:t>
      </w:r>
    </w:p>
    <w:p>
      <w:r>
        <w:t>3.1.1. L'art. 177 al. 1 CP punit, sur plainte, d'une peine pécuniaire de 90 jours-amende au plus celui qui, de toute autre manière, aura, par la parole, l'écriture, l'image, le geste ou par des voies de fait, attaqué autrui dans son honneur.</w:t>
      </w:r>
    </w:p>
    <w:p>
      <w:r>
        <w:t>3.1.2. Celui qui, par une menace grave, aura alarmé ou effrayé une personne sera, sur plainte, puni d'une peine privative de liberté de trois ans au plus ou d'une peine pécuniaire (art. 180 CP).</w:t>
      </w:r>
    </w:p>
    <w:p>
      <w:r>
        <w:t>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(arrêt du Tribunal fédéral 6B_1428/2016 du 3 octobre 2017 consid. 2.1).</w:t>
      </w:r>
    </w:p>
    <w:p>
      <w:r>
        <w:t>3.1.3. A teneur de l'art. 22 al. 1 CP, le juge peut atténuer la peine si l'exécution d'un crime ou d'un délit n'est pas poursuivie jusqu'à son terme ou que le résultat nécessaire à la consommation de l'infraction ne se produit pas ou ne pouvait pas se produire.</w:t>
      </w:r>
    </w:p>
    <w:p>
      <w:r>
        <w:rPr>
          <w:b/>
        </w:rPr>
        <w:t>E. 3.2</w:t>
      </w:r>
    </w:p>
    <w:p>
      <w:r>
        <w:t>En l'espèce, il est établi par les éléments figurant au dossier, et admis par H______, que cette dernière a adressé le 8 décembre 2019 des messages vocaux à A______, en lui proférant des injures et des menaces de mort, dans le but de l'alarmer. Le précité a été effrayé par lesdites menaces, dès lors qu'à l'audience de jugement, il a indiqué avoir peur de la famille de H______, peur justifiée au regard de la teneur des messages, lesquels laissaient entendre que la famille de cette dernière allait s'en prendre à lui et à sa propre famille. De plus, les parents d'A______ ont confirmé que ces messages avaient suscité de la crainte au sein de leur famille. Ainsi, les éléments constitutifs de l'infraction de menaces sont réalisés.</w:t>
      </w:r>
    </w:p>
    <w:p>
      <w:r>
        <w:t>En conséquence, la prévenue sera reconnue d'injure et de menaces.</w:t>
      </w:r>
    </w:p>
    <w:p>
      <w:r>
        <w:rPr>
          <w:b/>
        </w:rPr>
        <w:t>E. 4.1</w:t>
      </w:r>
    </w:p>
    <w:p>
      <w:r>
        <w:t>Selon l'art. 286 CP, celui qui aura empêché une autorité, un membre d'une autorité ou un fonctionnaire d'accomplir un acte entrant dans ses fonctions sera puni d'une peine pécuniaire de 30 jours-amende au plus.</w:t>
      </w:r>
    </w:p>
    <w:p>
      <w:r>
        <w:rPr>
          <w:b/>
        </w:rPr>
        <w:t>E. 4.2</w:t>
      </w:r>
    </w:p>
    <w:p>
      <w:r>
        <w:t>En l'espèce, il est établi et admis que, suite à son interpellation, H______ a refusé d'entrer dans la salle d'audition et s'est opposée à la fouille que devait effectuer les policiers, rendant ainsi plus difficile l'exécution de leurs tâches.</w:t>
      </w:r>
    </w:p>
    <w:p>
      <w:r>
        <w:t>Ainsi, elle sera reconnue coupable d'infraction à l'art. 286 CP.</w:t>
      </w:r>
    </w:p>
    <w:p>
      <w:r>
        <w:rPr>
          <w:b/>
        </w:rPr>
        <w:t>E. 5</w:t>
      </w:r>
    </w:p>
    <w:p>
      <w:r>
        <w:t>5.1.1. Selon l'art. 123 ch. 1 al. 1 CP, celui qui, intentionnellement, aura fait subir à une personne une autre atteinte à l'intégrité corporelle ou à la santé sera, sur plainte, puni d'une peine privative de liberté de trois ans au plus ou d'une peine pécuniaire.</w:t>
      </w:r>
    </w:p>
    <w:p>
      <w:r>
        <w:t>- 20 -</w:t>
      </w:r>
    </w:p>
    <w:p>
      <w:r>
        <w:t>P/2650/2020</w:t>
      </w:r>
    </w:p>
    <w:p>
      <w:r>
        <w:t>5.1.2. 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du Tribunal fédéral 6B_543/2018 du 21 juin 2018 consid. 1.1.2; 6B_745/2017 du 12 mars 2018 consid. 2.3; 6B_637/2012 du 21 janvier 2013 consid. 3.1; 6B_410/2012 du</w:t>
      </w:r>
    </w:p>
    <w:p>
      <w:r>
        <w:rPr>
          <w:b/>
        </w:rPr>
        <w:t>E. 5.2</w:t>
      </w:r>
    </w:p>
    <w:p>
      <w:r>
        <w:t>En l'espèce, le Tribunal retient que les éléments constitutifs de l'agression sont réalisés en tant qu'il ressort du dossier que le 19 janvier 2020, vers 13h00, H______ et F______ sont allées à la rencontre de B______, à hauteur de la rue ______ J [GE] 61, alors que cette dernière se rendait à son travail depuis son domicile. Elles avaient pour ce faire été déposées en voiture par D______. Une fois arrivées derrière B______, H______ et F______ l'ont poussée et frappée en lui assénant, en tous les cas, des coups de poing sur les bras et l'épaule. F______ a de surcroit mis son pied sur celui de B______ afin de la faire tomber vers l'avant, la tête la première. L'implication de H______, F______ et D______ dans l'agression de B______ ne fait aucun doute. En effet, les déclarations de B______ ont été constantes, mettant dès son premier récit recueilli par la police, son mari et les O______, puis tout au long de la procédure, formellement en cause H______ et F______, comme étant les auteurs de son agression. Le fait que B______ ait légèrement varié dans ses propos ne remet pas en cause sa crédibilité, laquelle est corroborée par d'autres éléments figurant au dossier, tels que les déclarations de S______, qui avait vu deux femmes courir vers l'allée de son immeuble, et le résultat de l'analyse des rétroactifs des raccordements téléphoniques de H______ et D______, qui atteste de leur présence dans le quartier au moment des faits. En effet, le raccordement téléphonique de H______ a borné le 19 janvier 2020 à 13h06 à la rue ______ J [GE] 76, tandis qu'au même moment le raccordement de D______ a activé une borne à la rue de la Canonnière 9, située à proximité de la rue ______ J [GE]. Même si D______ n'a pas participé activement à l'agression, il n'en demeure pas moins qu'il a pleinement adhéré aux actes commis par son épouse et sa fille, en les véhiculant et en entretenant des contacts téléphoniques réguliers avec H______ le jour des faits, plus particulièrement aux alentours de 13h00. A ces éléments s'ajoutent également le fait que l'agression du 19 janvier 2020 s'inscrit dans un contexte particulier, à savoir un conflit entre la famille M______,</w:t>
      </w:r>
    </w:p>
    <w:p>
      <w:r>
        <w:t>- 22 -</w:t>
      </w:r>
    </w:p>
    <w:p>
      <w:r>
        <w:t>P/2650/2020</w:t>
      </w:r>
    </w:p>
    <w:p>
      <w:r>
        <w:t>d'origine serbe, et la famille Z______, d'origine albanaise. En effet, les parents de F______ n'avaient pas accepté que leur fille ait entretenu une relation sentimentale avec A______, un ressortissant albanais, ce qu'a reconnu H______. L'intention des prévenus était de se venger de l'affront fait par A______ à leur famille en entretenant une relation sentimentale avec F______ et en essayant, après la rupture avec cette dernière, de la contacter. La théorie soutenue par les prévenus, selon laquelle le 19 janvier 2020, H______ se trouvait à la maison, alors que son mari et sa fille étaient allés conduire en vue de l'examen pratique du permis de conduire de cette dernière, n'est pas crédible. En effet, cette version des faits est non seulement contredite par le résultat de l'analyse des rétroactifs des raccordements téléphoniques plaçant tant H______ que D______ sur les lieux des faits, mais également par les déclarations contradictoires et fluctuantes de F______, qui a d'abord indiqué ne pas s'être rendue à Genève le 19 janvier 2020 avec son père pour, une fois confrontée à la version de ce dernier et au résultat de l'analyse des raccordements téléphoniques, expliquer qu'elle était allée à Genève après avoir conduit avec son père en France, car il voulait visiter des boulangeries et qu'à cette occasion, elle avait trouvé dans la voiture le téléphone portable de sa mère, avec lequel elle avait tenté de joindre son père qui s'était absenté pour les visites susmentionnées. Les prévenus ne sauraient non plus se prévaloir de l'attestation établie par S______, confirmant la présence de H______ à N______ le 19 janvier 2020, entre 12h00 et 15h00, dans la mesure où, à l'audience de jugement, S______ a reconnu qu'en réalité elle n'avait vu la précitée qu'une demi-heure dans cette fourchette d'horaire, qui demeure compatible avec un aller- retour à Genève de H______ et le déroulement des faits dénoncés par B______. Les lésions subies par B______ suite aux coups assenés par H______ et F______ et à sa chute provoquée par les précitées, sous forme d'un hématome de l'os zygomatique à gauche, d'un traumatisme crânien, d'une plaie transfixiante de la lèvre supérieure gauche, d'une dent cassée, et des dermabrasions au niveau de l'épaule droite, du coude droit et du genou droit, sont constitutives de lésions corporelles simples. En revanche, le Tribunal considère que la mise en danger créée par ces coups n'a pas dépassé en intensité le résultat survenu au regard des lésions importantes subies par B______ et du fait que H______ et F______ n'avaient pas portés de coups de poing ou de pied au visage ou en utilisant un objet dangereux, coups qui eux auraient été en mesure de dépasser le résultat obtenu et aurait été propre à créer des lésions corporelles graves. L'infraction d'agression est dès lors absorbée par celle de lésions corporelles simples. Ainsi, les prévenus seront reconnus coupables de lésions corporelles simples. 6. 6.1.1. Aux termes de l'art. 47 CP, le juge fixe la peine d'après la culpabilité de l'auteur, en tenant compte des antécédents et de la situation personnelle de ce</w:t>
      </w:r>
    </w:p>
    <w:p>
      <w:r>
        <w:t>- 23 -</w:t>
      </w:r>
    </w:p>
    <w:p>
      <w:r>
        <w:t>P/2650/2020</w:t>
      </w:r>
    </w:p>
    <w:p>
      <w:r>
        <w:t>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6B_1249/2014 du 7 septembre 2015 consid. 1.2). 6.1.2 Sauf disposition contraire, la peine pécuniaire est de trois jours-amende au moins et ne peut excéder 180 jours-amende. Le juge fixe leur nombre en fonction de la culpabilité de l’auteur (art. 34 al. 1 CP). 6.1.3. Selon l'art 40 al.1 CP, la durée minimale de la peine privative de liberté est de trois jours; elle peut être plus courte si la peine privative de liberté est prononcée par conversion d'une peine pécuniaire (art. 36) ou d'une amende (art. 106) non payées. 6.1.4.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6.1.5. A teneur de l'art. 42 al. 1 et 2 CP, le juge suspend en règle générale l'exécution d'une peine pécuniaire ou d'une peine privative de liberté de deux ans au plus</w:t>
      </w:r>
    </w:p>
    <w:p>
      <w:r>
        <w:t>- 24 -</w:t>
      </w:r>
    </w:p>
    <w:p>
      <w:r>
        <w:t>P/2650/2020</w:t>
      </w:r>
    </w:p>
    <w:p>
      <w:r>
        <w:t>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6.1.6. A teneur de l'art. 51 CP, le juge impute sur la peine la détention avant jugement subie par l'auteur dans le cadre de l'affaire qui vient d'être jugée ou d'une autre procédure. 6.1.7. Sauf disposition contraire de la loi, le montant maximum de l'amende est de</w:t>
      </w:r>
    </w:p>
    <w:p>
      <w:r>
        <w:rPr>
          <w:b/>
        </w:rPr>
        <w:t>E. 7</w:t>
      </w:r>
    </w:p>
    <w:p>
      <w:r>
        <w:t>janvier 2013 consid. 2.1.1; 6B_989/2009 du 22 mars 2010 consid. 3.1.1 et les références citées).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Lorsqu'il n'y a qu'une seule victime, seule l'infraction de lésion en cause est retenue, celle-ci absorbant l'art. 134 CP (ATF 135 IV 152 consid. 2.1.2). Ainsi, le Tribunal fédéral reconnaît que s'il peut être établi que l'un des agresseurs se rend coupable de meurtre (art. 111 CP) respectivement de tentative de meurtre (art. 22 al. 1 et 111 CP) ou des lésions corporelles, cette qualification absorbe, en ce qui le concerne, l'agression au sens de l'art. 134 CP (ATF 118 IV 227 consid. 5b; 6P.41/2006 consid. 7.1.3; ATF 135 IV 152 consid. 2.1.2 p. 154; arrêt du Tribunal fédéral 6B_619/2013 du 2 septembre 2013 consid. 2.1).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118 IV 227 consid. 5b). Le concours est également envisageable, lorsque la personne, qui a été blessée lors de l'agression, n'a subi que des lésions corporelles simples, mais que la mise en danger a dépassé en intensité le résultat intervenu (STRATENWERTH/JENNY, Schweizerisches Strafrecht, BT I, 6ème éd., § 4 n° 45 p. 85).</w:t>
      </w:r>
    </w:p>
    <w:p>
      <w:r>
        <w:t>- 21 -</w:t>
      </w:r>
    </w:p>
    <w:p>
      <w:r>
        <w:t>P/2650/2020</w:t>
      </w:r>
    </w:p>
    <w:p>
      <w:r>
        <w:t>5.1.3.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 125 IV 134 consid. 3a p. 136).</w:t>
      </w:r>
    </w:p>
    <w:p>
      <w:r>
        <w:rPr>
          <w:b/>
        </w:rPr>
        <w:t>E. 10</w:t>
      </w:r>
    </w:p>
    <w:p>
      <w:r>
        <w:t>Les frais de la procédure, qui s'élèvent à CHF 5'537.-, y compris un émolument de jugement de CHF 300.-, seront mis à la charge des prévenus, à raison d'un tiers chacun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