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JTDP/369/2020 vom 13. März 2020</w:t>
      </w:r>
    </w:p>
    <w:p>
      <w:r>
        <w:t>GE Cour de justice, 2020-03-13, FR</w:t>
      </w:r>
    </w:p>
    <w:p>
      <w:r>
        <w:rPr>
          <w:b/>
        </w:rPr>
        <w:t xml:space="preserve">Quelle: </w:t>
      </w:r>
      <w:r>
        <w:t>https://mcp.opencaselaw.ch/entscheid/ge_gerichte_JTDP_369_2020</w:t>
      </w:r>
    </w:p>
    <w:p>
      <w:r>
        <w:t>FR: GE_GERICHTE JTDP/369/2020 du 13 mars 2020</w:t>
      </w:r>
    </w:p>
    <w:p>
      <w:r>
        <w:t>IT: GE_GERICHTE JTDP/369/2020 del 13 marzo 2020</w:t>
      </w:r>
    </w:p>
    <w:p>
      <w:pPr>
        <w:pStyle w:val="Heading2"/>
      </w:pPr>
      <w:r>
        <w:t>Erwägungen</w:t>
      </w:r>
    </w:p>
    <w:p>
      <w:r>
        <w:rPr>
          <w:b/>
        </w:rPr>
        <w:t>E. 1</w:t>
      </w:r>
    </w:p>
    <w:p>
      <w:r>
        <w:t>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120 Ia 31 consid. 2c et d). Comme règle de l'appréciation des preuves, il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2.1.1. Aux termes de l'art. 90 al. 1 LCR, celui qui viole les règles de la circulation prévues par la présente loi ou par les dispositions d'exécution émanant du Conseil fédéral est puni de l'amende. Cette disposition constitue la base légale pour réprimer les violations des règles de la circulation. Etant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(JEANNERET, Les dispositions pénales de la Loi sur la circulation routière – LCR, Berne 2007, no 15 ad art. 90 LCR). 2.1.2. Selon l'art. 26 al. 1 LCR, chacun doit se comporter, dans la circulation, de manière à ne pas gêner ni mettre en danger ceux qui utilisent la route conformément aux règles établies.</w:t>
      </w:r>
    </w:p>
    <w:p>
      <w:r>
        <w:t>- 6 - P/20143/2019 2.2.1. Selon l'art. 93 al. 2 let. a LCR, est puni de l'amende quiconque conduit un véhicule dont il sait ou devrait savoir s'il avait prêté toute l'attention commandée par les circonstances qu'il ne répond pas aux prescriptions. La question de savoir si l’état défectueux du véhicule, respectivement la non-conformité aux prescriptions, comporte un risque d’accident est sans importance. Il s’agit en effet d’une infraction de mise en danger abstraite (cf. arrêts du Tribunal fédéral 6B_1398/2017 du 16 mars 2018, consid. 4.2 et 6B_1099/2009 du 16 février 2010, consid. 3.1; JEANNERET, op. cit., no 55 ad art. 93 LCR). L'art. 93 al. 2 LCR ne sanctionne pas seulement la conduite de véhicules non conformes à la réglementation au sens de l'art. 219 OETV, mais renvoie également à l'art. 29 LCR (arrêt du Tribunal fédéral 6B_1099/2009 du 16 février 2010, consid. 3.1, et les références citées). L'art. 93 al. 2 LCR prime sur l'art. 90 LCR en tant que lex specialis (ATF 92 IV 143, p. 144). 2.2.2. A teneur de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Les deux conditions contenues à l'article 29 LCR, soit que le véhicule soit en parfait état de fonctionnement et qu'il réponde aux prescriptions, doivent être remplies cumulativement pour l'admission au trafic (arrêt du Tribunal fédéral 6B_1099/2009 du 16 février 2010, consid. 3.1). Selon le Tribunal fédéral, le manque de carburant dans un véhicule ne limite pas seulement le bon fonctionnement du véhicule, mais il conduit également à son immobilisation en peu de temps. On peut facilement imaginer des situations dans lesquelles les règles de la circulation ne peuvent plus être respectées en raison d'un manque de carburant. Une quantité suffisante de carburant est donc d'une importance considérable pour la sécurité routière. L'obligation de veiller à ce que le carburant soit disponible en quantité suffisante fait donc partie des obligations d'entretien et de contrôle du véhicule. En principe, cette obligation peut être respectée par le conducteur en jetant un coup d'œil à la jauge de carburant. La violation de cette règle, ou la conduite d'un véhicule avec un carburant insuffisant, crée au moins un danger abstrait, qui doit être constatée comme une violation de l'art. 93 al. 2 LCR et poursuivie indépendamment de toute infraction au code de la route (arrêt du Tribunal fédéral 6B_1099/2009 du 16 février 2010, consid. 3.2).</w:t>
      </w:r>
    </w:p>
    <w:p>
      <w:r>
        <w:t>- 7 - P/20143/2019 2.2.3. L'art. 57 al. 1 OCR prévoit que le conducteur s’assurera que le véhicule et son chargement répondent aux prescriptions et qu’il dispose des accessoires nécessaires tels que le signal de panne. 2.3. Selon l'art. 100 ch. 1 LCR, la négligence est aussi punissable, sauf disposition expresse et contraire de la loi.</w:t>
      </w:r>
    </w:p>
    <w:p>
      <w:r>
        <w:rPr>
          <w:b/>
        </w:rPr>
        <w:t>E. 3</w:t>
      </w:r>
    </w:p>
    <w:p>
      <w:r>
        <w:t>En l'espèce, le Tribunal relève qu'il ressort des constatations de police, retranscrites dans le rapport d'accident du 11 juillet 2017, ainsi que de la vidéo et des images de vidéosurveillance versées au dossier, qu'un accident s'est produit le 30 juin 2017 dans un tunnel de l'autoroute A1aP, entre le motocycle du prévenu et deux autres véhicules, soit une dépanneuse et un camion, étant précisé que ces deux derniers véhicules suivaient immédiatement le motocycle du prévenu, sur la voie de circulation de droite. Le prévenu ne le conteste pas. Il ressort également des images de vidéosurveillance que le véhicule de X______ a, sans raison apparente, très rapidement perdu de la vitesse, étant précisé que ni son feu stop arrière, ni ses feux de détresse, n'ont été actionnés à ce moment. Par ailleurs, alors que le motocycle ralentissait, le prévenu a, plusieurs fois, penché sa tête en direction de son guidon. Ces éléments laissent clairement penser qu'un problème était survenu en lien avec son motocycle. En outre, à la suite de l'accident, les policiers ont constaté que le réservoir d'essence du motocycle HONDA était vide, ainsi que cela ressort de la détermination écrite de l'appointé C______, agent assermenté dont aucun élément objectif du dossier ne permet de mettre en doute les déclarations. Ainsi, pour le Tribunal, l'hypothèse d'une panne d'essence apparaît comme la cause la plus probable du ralentissement soudain du véhicule du prévenu. Il sera ici précisé que la version soutenue par le prévenu, à savoir qu'il aurait ralenti en prévision d'un radar, est dénuée de crédibilité. A cet égard, outre les éléments qui précèdent, il ressort de la vidéo et des photographies produites qu'au moment de l'accident, X______ se trouvait encore à une distance conséquente de la sortie du tunnel – et donc d'un éventuel radar –. Ainsi, aucune circonstance ne justifiait objectivement un ralentissement à ce niveau du tunnel, encore moins un ralentissement aussi important que celui, effectué par le prévenu, visible sur les images de vidéosurveillance. Par ailleurs, contrairement à ce que X______ a soutenu lors des plaidoiries, l'on ne voit pas en quoi la possession de CHF 490.- au moment des faits permettrait d'exclure l'hypothèse d'une panne d'essence. A cet égard, il sera simplement mentionné que la survenance d'une telle panne apparait bien plus souvent comme le résultat d'une négligence plutôt que d'une volonté réelle, étant précisé que les deux hypothèses sont punissables selon l'art. 93 LCR.</w:t>
      </w:r>
    </w:p>
    <w:p>
      <w:r>
        <w:t>- 8 - P/20143/2019 Enfin, aucun élément du dossier ne laisse penser que, en dehors d'une panne d'essence, le motocycle du prévenu aurait été en proie à un autre problème mécanique au moment des faits. X______ ne le soutient d'ailleurs pas. Il découle des considérations qui précèdent que le prévenu, en ne s'assurant pas du bon fonctionnement de son véhicule, s'est bien rendu coupable d'une infraction à l'art. 93 al. 2 let. a LCR. Il sera précisé ici que, au-delà du fait d'être tombé en panne sur l'autoroute et des conséquences intrinsèquement liées à ladite panne, le Tribunal ne voit pas quel acte d'entrave distinct aurait été réalisé par le prévenu, étant rappelé que l'art. 93 al. 2 LCR prime sur l'art. 90 LCR en tant que lex specialis. Ainsi, seule une infraction à l'art. 93 al. 2 let. a LCR sera retenue à l'encontre du prévenu. 4.1. L'infraction à l'art. 93 al. 2 let. a LCR est punie de l'amende. Selon l'art. 106 al. 1 à 3 CP, sauf disposition contraire de la loi, le montant maximum de l'amende est de 10 000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in JdT 2005 IV 215 et JEANNERET, in ROTH/MOREILLON [éd.], Commentaire romand, Code pénal I, art. 1-110 CP, 2009, ad art. 106 CP nos 6 à 8). 4.2. En l'espèce, le montant de l'amende sera fixé à CHF 400.-, montant justifié au vu de la situation personnelle du prévenu et de la gravité de la faute commise. Le fait de tomber en panne en raison d'un réservoir vide représente un comportement dangereux, notamment du fait que la vitesse du véhicule peut diminuer très rapidement. Ce qui précède est d'autant plus vrai sur un axe à vitesse élevée. La peine privative de liberté de substitution sera arrêtée à 4 jours.</w:t>
      </w:r>
    </w:p>
    <w:p>
      <w:r>
        <w:rPr>
          <w:b/>
        </w:rPr>
        <w:t>E. 5</w:t>
      </w:r>
    </w:p>
    <w:p>
      <w:r>
        <w:t>Les frais de la procédure, qui s'élèvent à CHF 573.-, seront arrêtés à CHF 150.- et mis à la charge de X______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